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jc w:val="center"/>
      </w:pPr>
      <w:r>
        <w:rPr>
          <w:i/>
        </w:rPr>
        <w:t>Observed provenance composition is not sampling effort in presence-only species distribution models</w:t>
      </w:r>
    </w:p>
    <w:p/>
    <w:p>
      <w:pPr>
        <w:pStyle w:val="ListBullet"/>
        <w:spacing w:after="200"/>
      </w:pPr>
      <w:r>
        <w:t>Observed source proportions combine programme allocation and ecological overlap.</w:t>
      </w:r>
    </w:p>
    <w:p>
      <w:pPr>
        <w:pStyle w:val="ListBullet"/>
        <w:spacing w:after="200"/>
      </w:pPr>
      <w:r>
        <w:t>Provenance-matched backgrounds gave no general gain across 14,400 model fits.</w:t>
      </w:r>
    </w:p>
    <w:p>
      <w:pPr>
        <w:pStyle w:val="ListBullet"/>
        <w:spacing w:after="200"/>
      </w:pPr>
      <w:r>
        <w:t>Latent allocation matching recovered performance when sampling bias was strong.</w:t>
      </w:r>
    </w:p>
    <w:p>
      <w:pPr>
        <w:pStyle w:val="ListBullet"/>
        <w:spacing w:after="200"/>
      </w:pPr>
      <w:r>
        <w:t>GBIF map centroids shifted by 7.9 to 64.9 km despite small AUC changes.</w:t>
      </w:r>
    </w:p>
    <w:p>
      <w:pPr>
        <w:pStyle w:val="ListBullet"/>
        <w:spacing w:after="200"/>
      </w:pPr>
      <w:r>
        <w:t>Effort correction needs survey-allocation metadata, not provenance counts alone.</w:t>
      </w:r>
    </w:p>
    <w:sectPr w:rsidR="00FC693F" w:rsidRPr="0006063C" w:rsidSect="00034616">
      <w:footerReference w:type="default" r:id="rId9"/>
      <w:pgSz w:w="11906" w:h="16838"/>
      <w:pgMar w:top="1332" w:right="1417" w:bottom="1332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120"/>
      <w:jc w:val="left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