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7116C">
      <w:pPr>
        <w:jc w:val="center"/>
      </w:pPr>
      <w:r>
        <w:rPr>
          <w:rFonts w:ascii="Arial" w:hAnsi="Arial"/>
          <w:b/>
          <w:color w:val="1F4E79"/>
          <w:sz w:val="36"/>
        </w:rPr>
        <w:t>Разработка и проверка модели машинного обучения</w:t>
      </w:r>
      <w:r>
        <w:rPr>
          <w:rFonts w:ascii="Arial" w:hAnsi="Arial"/>
          <w:b/>
          <w:color w:val="1F4E79"/>
          <w:sz w:val="36"/>
        </w:rPr>
        <w:br w:type="textWrapping"/>
      </w:r>
      <w:r>
        <w:rPr>
          <w:rFonts w:ascii="Arial" w:hAnsi="Arial"/>
          <w:b/>
          <w:color w:val="1F4E79"/>
          <w:sz w:val="36"/>
        </w:rPr>
        <w:t>для прогнозирования растворения лекарственных веществ</w:t>
      </w:r>
    </w:p>
    <w:p w14:paraId="41E9F65C">
      <w:pPr>
        <w:pStyle w:val="2"/>
      </w:pPr>
      <w:r>
        <w:t>1. Цель работы</w:t>
      </w:r>
    </w:p>
    <w:p w14:paraId="37262899">
      <w:r>
        <w:t xml:space="preserve">Цель работы </w:t>
      </w:r>
      <w:r>
        <w:rPr>
          <w:lang w:val="ru-RU"/>
        </w:rPr>
        <w:t>–</w:t>
      </w:r>
      <w:r>
        <w:t xml:space="preserve"> разработать и проверить регрессионную модель машинного обучения, предсказывающую значение Dissolution по физико-химическим дескрипторам лекарственного вещества, характеристикам вспомогательных веществ и параметрам экспериментальной системы. В перспективе модель может использоваться для предварительного сравнения вариантов состава, в том числе при планировании формуляций с новым действующим веществом. Расчётный результат не является заменой экспериментальной проверке.</w:t>
      </w:r>
    </w:p>
    <w:p w14:paraId="5D583F90">
      <w:pPr>
        <w:pStyle w:val="2"/>
      </w:pPr>
      <w:r>
        <w:t>2. Исходные данные и диагностика</w:t>
      </w:r>
    </w:p>
    <w:p w14:paraId="4C387A5C">
      <w:r>
        <w:t>Скрипт загружает файл dataset_616.xlsx из той же папки, в которой находится model.py. В предыдущем зафиксированном запуске набор содержал 5400 строк и 28 столбцов.</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472"/>
      </w:tblGrid>
      <w:tr w14:paraId="5EFAE751">
        <w:trPr>
          <w:jc w:val="center"/>
        </w:trPr>
        <w:tc>
          <w:tcPr>
            <w:tcW w:w="4320" w:type="dxa"/>
            <w:shd w:val="clear" w:color="auto" w:fill="D9EAF7"/>
            <w:vAlign w:val="center"/>
          </w:tcPr>
          <w:p w14:paraId="6255AFBB">
            <w:pPr>
              <w:spacing w:after="0" w:line="240" w:lineRule="auto"/>
            </w:pPr>
            <w:r>
              <w:rPr>
                <w:rFonts w:ascii="Arial" w:hAnsi="Arial"/>
                <w:b/>
                <w:sz w:val="18"/>
              </w:rPr>
              <w:t>Показатель</w:t>
            </w:r>
          </w:p>
        </w:tc>
        <w:tc>
          <w:tcPr>
            <w:tcW w:w="5472" w:type="dxa"/>
            <w:shd w:val="clear" w:color="auto" w:fill="D9EAF7"/>
            <w:vAlign w:val="center"/>
          </w:tcPr>
          <w:p w14:paraId="1D566321">
            <w:pPr>
              <w:spacing w:after="0" w:line="240" w:lineRule="auto"/>
            </w:pPr>
            <w:r>
              <w:rPr>
                <w:rFonts w:ascii="Arial" w:hAnsi="Arial"/>
                <w:b/>
                <w:sz w:val="18"/>
              </w:rPr>
              <w:t>Результат предыдущего запуска</w:t>
            </w:r>
          </w:p>
        </w:tc>
      </w:tr>
      <w:tr w14:paraId="0DA64C1B">
        <w:trPr>
          <w:jc w:val="center"/>
        </w:trPr>
        <w:tc>
          <w:tcPr>
            <w:tcW w:w="4320" w:type="dxa"/>
            <w:vAlign w:val="center"/>
          </w:tcPr>
          <w:p w14:paraId="60C4AE8F">
            <w:pPr>
              <w:spacing w:after="0" w:line="240" w:lineRule="auto"/>
            </w:pPr>
            <w:r>
              <w:rPr>
                <w:rFonts w:ascii="Arial" w:hAnsi="Arial"/>
                <w:b w:val="0"/>
                <w:sz w:val="18"/>
              </w:rPr>
              <w:t>Количество строк / столбцов</w:t>
            </w:r>
          </w:p>
        </w:tc>
        <w:tc>
          <w:tcPr>
            <w:tcW w:w="5472" w:type="dxa"/>
            <w:vAlign w:val="center"/>
          </w:tcPr>
          <w:p w14:paraId="35F375CA">
            <w:pPr>
              <w:spacing w:after="0" w:line="240" w:lineRule="auto"/>
            </w:pPr>
            <w:r>
              <w:rPr>
                <w:rFonts w:ascii="Arial" w:hAnsi="Arial"/>
                <w:b w:val="0"/>
                <w:sz w:val="18"/>
              </w:rPr>
              <w:t>5400 / 28</w:t>
            </w:r>
          </w:p>
        </w:tc>
      </w:tr>
      <w:tr w14:paraId="61F4E68A">
        <w:trPr>
          <w:jc w:val="center"/>
        </w:trPr>
        <w:tc>
          <w:tcPr>
            <w:tcW w:w="4320" w:type="dxa"/>
            <w:vAlign w:val="center"/>
          </w:tcPr>
          <w:p w14:paraId="40D72317">
            <w:pPr>
              <w:spacing w:after="0" w:line="240" w:lineRule="auto"/>
            </w:pPr>
            <w:r>
              <w:rPr>
                <w:rFonts w:ascii="Arial" w:hAnsi="Arial"/>
                <w:b w:val="0"/>
                <w:sz w:val="18"/>
              </w:rPr>
              <w:t>Экспериментальные серии (Experimental_index)</w:t>
            </w:r>
          </w:p>
        </w:tc>
        <w:tc>
          <w:tcPr>
            <w:tcW w:w="5472" w:type="dxa"/>
            <w:vAlign w:val="center"/>
          </w:tcPr>
          <w:p w14:paraId="39320BE7">
            <w:pPr>
              <w:spacing w:after="0" w:line="240" w:lineRule="auto"/>
            </w:pPr>
            <w:r>
              <w:rPr>
                <w:rFonts w:ascii="Arial" w:hAnsi="Arial"/>
                <w:b w:val="0"/>
                <w:sz w:val="18"/>
              </w:rPr>
              <w:t>616</w:t>
            </w:r>
          </w:p>
        </w:tc>
      </w:tr>
      <w:tr w14:paraId="13880860">
        <w:trPr>
          <w:jc w:val="center"/>
        </w:trPr>
        <w:tc>
          <w:tcPr>
            <w:tcW w:w="4320" w:type="dxa"/>
            <w:vAlign w:val="center"/>
          </w:tcPr>
          <w:p w14:paraId="2EC89A27">
            <w:pPr>
              <w:spacing w:after="0" w:line="240" w:lineRule="auto"/>
            </w:pPr>
            <w:r>
              <w:rPr>
                <w:rFonts w:ascii="Arial" w:hAnsi="Arial"/>
                <w:b w:val="0"/>
                <w:sz w:val="18"/>
              </w:rPr>
              <w:t>Уникальные значения Drug_Group</w:t>
            </w:r>
          </w:p>
        </w:tc>
        <w:tc>
          <w:tcPr>
            <w:tcW w:w="5472" w:type="dxa"/>
            <w:vAlign w:val="center"/>
          </w:tcPr>
          <w:p w14:paraId="042F4DE0">
            <w:pPr>
              <w:spacing w:after="0" w:line="240" w:lineRule="auto"/>
            </w:pPr>
            <w:r>
              <w:rPr>
                <w:rFonts w:ascii="Arial" w:hAnsi="Arial"/>
                <w:b w:val="0"/>
                <w:sz w:val="18"/>
              </w:rPr>
              <w:t>201</w:t>
            </w:r>
          </w:p>
        </w:tc>
      </w:tr>
      <w:tr w14:paraId="6B3AEA10">
        <w:trPr>
          <w:jc w:val="center"/>
        </w:trPr>
        <w:tc>
          <w:tcPr>
            <w:tcW w:w="4320" w:type="dxa"/>
            <w:vAlign w:val="center"/>
          </w:tcPr>
          <w:p w14:paraId="4D9B8720">
            <w:pPr>
              <w:spacing w:after="0" w:line="240" w:lineRule="auto"/>
            </w:pPr>
            <w:r>
              <w:rPr>
                <w:rFonts w:ascii="Arial" w:hAnsi="Arial"/>
                <w:b w:val="0"/>
                <w:sz w:val="18"/>
              </w:rPr>
              <w:t>Среднее Dissolution</w:t>
            </w:r>
          </w:p>
        </w:tc>
        <w:tc>
          <w:tcPr>
            <w:tcW w:w="5472" w:type="dxa"/>
            <w:vAlign w:val="center"/>
          </w:tcPr>
          <w:p w14:paraId="127647A7">
            <w:pPr>
              <w:spacing w:after="0" w:line="240" w:lineRule="auto"/>
            </w:pPr>
            <w:r>
              <w:rPr>
                <w:rFonts w:ascii="Arial" w:hAnsi="Arial"/>
                <w:b w:val="0"/>
                <w:sz w:val="18"/>
              </w:rPr>
              <w:t>0,510900</w:t>
            </w:r>
          </w:p>
        </w:tc>
      </w:tr>
      <w:tr w14:paraId="600CED94">
        <w:trPr>
          <w:jc w:val="center"/>
        </w:trPr>
        <w:tc>
          <w:tcPr>
            <w:tcW w:w="4320" w:type="dxa"/>
            <w:vAlign w:val="center"/>
          </w:tcPr>
          <w:p w14:paraId="4585D34F">
            <w:pPr>
              <w:spacing w:after="0" w:line="240" w:lineRule="auto"/>
            </w:pPr>
            <w:r>
              <w:rPr>
                <w:rFonts w:ascii="Arial" w:hAnsi="Arial"/>
                <w:b w:val="0"/>
                <w:sz w:val="18"/>
              </w:rPr>
              <w:t>Стандартное отклонение Dissolution</w:t>
            </w:r>
          </w:p>
        </w:tc>
        <w:tc>
          <w:tcPr>
            <w:tcW w:w="5472" w:type="dxa"/>
            <w:vAlign w:val="center"/>
          </w:tcPr>
          <w:p w14:paraId="68413D16">
            <w:pPr>
              <w:spacing w:after="0" w:line="240" w:lineRule="auto"/>
            </w:pPr>
            <w:r>
              <w:rPr>
                <w:rFonts w:ascii="Arial" w:hAnsi="Arial"/>
                <w:b w:val="0"/>
                <w:sz w:val="18"/>
              </w:rPr>
              <w:t>0,347877</w:t>
            </w:r>
          </w:p>
        </w:tc>
      </w:tr>
      <w:tr w14:paraId="48904F76">
        <w:trPr>
          <w:jc w:val="center"/>
        </w:trPr>
        <w:tc>
          <w:tcPr>
            <w:tcW w:w="4320" w:type="dxa"/>
            <w:vAlign w:val="center"/>
          </w:tcPr>
          <w:p w14:paraId="7001D975">
            <w:pPr>
              <w:spacing w:after="0" w:line="240" w:lineRule="auto"/>
            </w:pPr>
            <w:r>
              <w:rPr>
                <w:rFonts w:ascii="Arial" w:hAnsi="Arial"/>
                <w:b w:val="0"/>
                <w:sz w:val="18"/>
              </w:rPr>
              <w:t>Минимум / медиана / максимум Dissolution</w:t>
            </w:r>
          </w:p>
        </w:tc>
        <w:tc>
          <w:tcPr>
            <w:tcW w:w="5472" w:type="dxa"/>
            <w:vAlign w:val="center"/>
          </w:tcPr>
          <w:p w14:paraId="71EF6B5D">
            <w:pPr>
              <w:spacing w:after="0" w:line="240" w:lineRule="auto"/>
            </w:pPr>
            <w:r>
              <w:rPr>
                <w:rFonts w:ascii="Arial" w:hAnsi="Arial"/>
                <w:b w:val="0"/>
                <w:sz w:val="18"/>
              </w:rPr>
              <w:t>0,000000 / 0,544680 / 1,106610</w:t>
            </w:r>
          </w:p>
        </w:tc>
      </w:tr>
      <w:tr w14:paraId="2C15C587">
        <w:trPr>
          <w:jc w:val="center"/>
        </w:trPr>
        <w:tc>
          <w:tcPr>
            <w:tcW w:w="4320" w:type="dxa"/>
            <w:vAlign w:val="center"/>
          </w:tcPr>
          <w:p w14:paraId="67EE5F51">
            <w:pPr>
              <w:spacing w:after="0" w:line="240" w:lineRule="auto"/>
            </w:pPr>
            <w:r>
              <w:rPr>
                <w:rFonts w:ascii="Arial" w:hAnsi="Arial"/>
                <w:b w:val="0"/>
                <w:sz w:val="18"/>
              </w:rPr>
              <w:t>Наблюдения с Dissolution &gt; 1</w:t>
            </w:r>
          </w:p>
        </w:tc>
        <w:tc>
          <w:tcPr>
            <w:tcW w:w="5472" w:type="dxa"/>
            <w:vAlign w:val="center"/>
          </w:tcPr>
          <w:p w14:paraId="67AF064F">
            <w:pPr>
              <w:spacing w:after="0" w:line="240" w:lineRule="auto"/>
            </w:pPr>
            <w:r>
              <w:rPr>
                <w:rFonts w:ascii="Arial" w:hAnsi="Arial"/>
                <w:b w:val="0"/>
                <w:sz w:val="18"/>
              </w:rPr>
              <w:t>102</w:t>
            </w:r>
          </w:p>
        </w:tc>
      </w:tr>
      <w:tr w14:paraId="2387FC89">
        <w:trPr>
          <w:jc w:val="center"/>
        </w:trPr>
        <w:tc>
          <w:tcPr>
            <w:tcW w:w="4320" w:type="dxa"/>
            <w:vAlign w:val="center"/>
          </w:tcPr>
          <w:p w14:paraId="1D4C8DC8">
            <w:pPr>
              <w:spacing w:after="0" w:line="240" w:lineRule="auto"/>
            </w:pPr>
            <w:r>
              <w:rPr>
                <w:rFonts w:ascii="Arial" w:hAnsi="Arial"/>
                <w:b w:val="0"/>
                <w:sz w:val="18"/>
              </w:rPr>
              <w:t>Наблюдения с Dissolution &lt; 0</w:t>
            </w:r>
          </w:p>
        </w:tc>
        <w:tc>
          <w:tcPr>
            <w:tcW w:w="5472" w:type="dxa"/>
            <w:vAlign w:val="center"/>
          </w:tcPr>
          <w:p w14:paraId="794D15C9">
            <w:pPr>
              <w:spacing w:after="0" w:line="240" w:lineRule="auto"/>
            </w:pPr>
            <w:r>
              <w:rPr>
                <w:rFonts w:ascii="Arial" w:hAnsi="Arial"/>
                <w:b w:val="0"/>
                <w:sz w:val="18"/>
              </w:rPr>
              <w:t>0</w:t>
            </w:r>
          </w:p>
        </w:tc>
      </w:tr>
      <w:tr w14:paraId="6D1A5B0B">
        <w:trPr>
          <w:jc w:val="center"/>
        </w:trPr>
        <w:tc>
          <w:tcPr>
            <w:tcW w:w="4320" w:type="dxa"/>
            <w:vAlign w:val="center"/>
          </w:tcPr>
          <w:p w14:paraId="4DC811CD">
            <w:pPr>
              <w:spacing w:after="0" w:line="240" w:lineRule="auto"/>
            </w:pPr>
            <w:r>
              <w:rPr>
                <w:rFonts w:ascii="Arial" w:hAnsi="Arial"/>
                <w:b w:val="0"/>
                <w:sz w:val="18"/>
              </w:rPr>
              <w:t>Пропущенные значения в исходном наборе</w:t>
            </w:r>
          </w:p>
        </w:tc>
        <w:tc>
          <w:tcPr>
            <w:tcW w:w="5472" w:type="dxa"/>
            <w:vAlign w:val="center"/>
          </w:tcPr>
          <w:p w14:paraId="5287653F">
            <w:pPr>
              <w:spacing w:after="0" w:line="240" w:lineRule="auto"/>
            </w:pPr>
            <w:r>
              <w:rPr>
                <w:rFonts w:ascii="Arial" w:hAnsi="Arial"/>
                <w:b w:val="0"/>
                <w:sz w:val="18"/>
              </w:rPr>
              <w:t>В ранее сохранённом выводе не обнаружены</w:t>
            </w:r>
          </w:p>
        </w:tc>
      </w:tr>
    </w:tbl>
    <w:p w14:paraId="64248F5C"/>
    <w:p w14:paraId="28ABD2FD">
      <w:r>
        <w:t>В актуальном коде диагностический блок выводит пропуски, типы данных и число уникальных значений по столбцам, описательную статистику Dissolution, число значений выше 1 и ниже 0, количество серий и групп препаратов, а также число полностью дублирующихся строк. Значения Dissolution выше 1 код не удаляет и не корректирует. Само по себе превышение 1 не позволяет установить, является ли оно ошибкой данных: это требует проверки определения целевого показателя и первоисточников экспериментов.</w:t>
      </w:r>
    </w:p>
    <w:p w14:paraId="5D3EE61A">
      <w:r>
        <w:t xml:space="preserve">Важно: Drug_Group </w:t>
      </w:r>
      <w:r>
        <w:rPr>
          <w:lang w:val="ru-RU"/>
        </w:rPr>
        <w:t>–</w:t>
      </w:r>
      <w:r>
        <w:t xml:space="preserve"> категориальный идентификатор группы/комбинации в исходной таблице; 201 уникальное значение не следует автоматически интерпретировать как 201 отдельное действующее вещество.</w:t>
      </w:r>
    </w:p>
    <w:p w14:paraId="6CDD0A8C">
      <w:pPr>
        <w:pStyle w:val="2"/>
      </w:pPr>
      <w:r>
        <w:t>3. Подготовка данных и признаки модели</w:t>
      </w:r>
    </w:p>
    <w:p w14:paraId="4D0D846E">
      <w:r>
        <w:t xml:space="preserve">Целевая переменная y </w:t>
      </w:r>
      <w:r>
        <w:rPr>
          <w:lang w:val="ru-RU"/>
        </w:rPr>
        <w:t>–</w:t>
      </w:r>
      <w:r>
        <w:t xml:space="preserve"> Dissolution. Перед формированием выборок код проверяет наличие обязательных столбцов Dissolution, Experimental_index и Drug_Group, преобразует Dissolution в числовой формат и останавливает выполнение, если после преобразования в целевой переменной есть пропуски или нечисловые значения.</w:t>
      </w:r>
    </w:p>
    <w:p w14:paraId="59AB5490">
      <w:r>
        <w:t>Из матрицы признаков X исключаются Dissolution, Experimental_index, Drug_Group и _API_candidate, если этот последний столбец присутствует. Experimental_index используется для группового разделения данных, но не передаётся модели как признак. Drug_Group также не передаётся модели, однако используется в последующем аналитическом сравнении серий.</w:t>
      </w:r>
    </w:p>
    <w:p w14:paraId="42E0B0DD">
      <w:r>
        <w:t>Код проверяет, что признаки X имеют числовые типы; если обнаруживаются нечисловые столбцы, выполнение прекращается с сообщением об ошибке. В отличие от целевой переменной, отдельной проверки пропусков в X в актуальном скрипте нет. Поэтому не следует писать, что код гарантирует отсутствие пропусков во всех признаках: это подтверждается только отдельным выводом диагностики конкретного набора данных.</w:t>
      </w:r>
    </w:p>
    <w:p w14:paraId="455FF4BC">
      <w:r>
        <w:t>В сохранённом предыдущем запуске использовалось 25 признаков. Точное число признаков в конкретном запуске определяется фактическим составом столбцов: если в файле есть _API_candidate, этот столбец также исключается.</w:t>
      </w:r>
    </w:p>
    <w:p w14:paraId="7A1F652D">
      <w:pPr>
        <w:pStyle w:val="2"/>
      </w:pPr>
      <w:r>
        <w:t>4. Разделение на обучающую и тестовую выборки</w:t>
      </w:r>
    </w:p>
    <w:p w14:paraId="6436298A">
      <w:r>
        <w:t>Для разделения используется GroupShuffleSplit(n_splits=1, test_size=0.2, random_state=42), а в качестве групп передаётся Experimental_index. Все строки одной экспериментальной серии целиком относятся либо к обучающей, либо к тестовой выборке. После разделения код отдельно проверяет пересечение множеств идентификаторов серий и прекращает работу, если оно обнаружено.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2880"/>
        <w:gridCol w:w="2880"/>
      </w:tblGrid>
      <w:tr w14:paraId="3BCB18E9">
        <w:trPr>
          <w:jc w:val="center"/>
        </w:trPr>
        <w:tc>
          <w:tcPr>
            <w:tcW w:w="4032" w:type="dxa"/>
            <w:shd w:val="clear" w:color="auto" w:fill="D9EAF7"/>
            <w:vAlign w:val="center"/>
          </w:tcPr>
          <w:p w14:paraId="77E9610D">
            <w:pPr>
              <w:spacing w:after="0" w:line="240" w:lineRule="auto"/>
            </w:pPr>
            <w:r>
              <w:rPr>
                <w:rFonts w:ascii="Arial" w:hAnsi="Arial"/>
                <w:b/>
                <w:sz w:val="18"/>
              </w:rPr>
              <w:t>Показатель</w:t>
            </w:r>
          </w:p>
        </w:tc>
        <w:tc>
          <w:tcPr>
            <w:tcW w:w="2880" w:type="dxa"/>
            <w:shd w:val="clear" w:color="auto" w:fill="D9EAF7"/>
            <w:vAlign w:val="center"/>
          </w:tcPr>
          <w:p w14:paraId="43C1F4EA">
            <w:pPr>
              <w:spacing w:after="0" w:line="240" w:lineRule="auto"/>
            </w:pPr>
            <w:r>
              <w:rPr>
                <w:rFonts w:ascii="Arial" w:hAnsi="Arial"/>
                <w:b/>
                <w:sz w:val="18"/>
              </w:rPr>
              <w:t>Обучающая выборка</w:t>
            </w:r>
          </w:p>
        </w:tc>
        <w:tc>
          <w:tcPr>
            <w:tcW w:w="2880" w:type="dxa"/>
            <w:shd w:val="clear" w:color="auto" w:fill="D9EAF7"/>
            <w:vAlign w:val="center"/>
          </w:tcPr>
          <w:p w14:paraId="21DF0715">
            <w:pPr>
              <w:spacing w:after="0" w:line="240" w:lineRule="auto"/>
            </w:pPr>
            <w:r>
              <w:rPr>
                <w:rFonts w:ascii="Arial" w:hAnsi="Arial"/>
                <w:b/>
                <w:sz w:val="18"/>
              </w:rPr>
              <w:t>Тестовая выборка</w:t>
            </w:r>
          </w:p>
        </w:tc>
      </w:tr>
      <w:tr w14:paraId="057AA0A9">
        <w:trPr>
          <w:jc w:val="center"/>
        </w:trPr>
        <w:tc>
          <w:tcPr>
            <w:tcW w:w="4032" w:type="dxa"/>
            <w:vAlign w:val="center"/>
          </w:tcPr>
          <w:p w14:paraId="4C21A35D">
            <w:pPr>
              <w:spacing w:after="0" w:line="240" w:lineRule="auto"/>
            </w:pPr>
            <w:r>
              <w:rPr>
                <w:rFonts w:ascii="Arial" w:hAnsi="Arial"/>
                <w:b w:val="0"/>
                <w:sz w:val="18"/>
              </w:rPr>
              <w:t>Количество строк</w:t>
            </w:r>
          </w:p>
        </w:tc>
        <w:tc>
          <w:tcPr>
            <w:tcW w:w="2880" w:type="dxa"/>
            <w:vAlign w:val="center"/>
          </w:tcPr>
          <w:p w14:paraId="20A49163">
            <w:pPr>
              <w:spacing w:after="0" w:line="240" w:lineRule="auto"/>
            </w:pPr>
            <w:r>
              <w:rPr>
                <w:rFonts w:ascii="Arial" w:hAnsi="Arial"/>
                <w:b w:val="0"/>
                <w:sz w:val="18"/>
              </w:rPr>
              <w:t>4307</w:t>
            </w:r>
          </w:p>
        </w:tc>
        <w:tc>
          <w:tcPr>
            <w:tcW w:w="2880" w:type="dxa"/>
            <w:vAlign w:val="center"/>
          </w:tcPr>
          <w:p w14:paraId="5F3B2A67">
            <w:pPr>
              <w:spacing w:after="0" w:line="240" w:lineRule="auto"/>
            </w:pPr>
            <w:r>
              <w:rPr>
                <w:rFonts w:ascii="Arial" w:hAnsi="Arial"/>
                <w:b w:val="0"/>
                <w:sz w:val="18"/>
              </w:rPr>
              <w:t>1093</w:t>
            </w:r>
          </w:p>
        </w:tc>
      </w:tr>
      <w:tr w14:paraId="296F6255">
        <w:trPr>
          <w:jc w:val="center"/>
        </w:trPr>
        <w:tc>
          <w:tcPr>
            <w:tcW w:w="4032" w:type="dxa"/>
            <w:vAlign w:val="center"/>
          </w:tcPr>
          <w:p w14:paraId="7389E41D">
            <w:pPr>
              <w:spacing w:after="0" w:line="240" w:lineRule="auto"/>
            </w:pPr>
            <w:r>
              <w:rPr>
                <w:rFonts w:ascii="Arial" w:hAnsi="Arial"/>
                <w:b w:val="0"/>
                <w:sz w:val="18"/>
              </w:rPr>
              <w:t>Количество экспериментальных серий</w:t>
            </w:r>
          </w:p>
        </w:tc>
        <w:tc>
          <w:tcPr>
            <w:tcW w:w="2880" w:type="dxa"/>
            <w:vAlign w:val="center"/>
          </w:tcPr>
          <w:p w14:paraId="54459D2C">
            <w:pPr>
              <w:spacing w:after="0" w:line="240" w:lineRule="auto"/>
            </w:pPr>
            <w:r>
              <w:rPr>
                <w:rFonts w:ascii="Arial" w:hAnsi="Arial"/>
                <w:b w:val="0"/>
                <w:sz w:val="18"/>
              </w:rPr>
              <w:t>492</w:t>
            </w:r>
          </w:p>
        </w:tc>
        <w:tc>
          <w:tcPr>
            <w:tcW w:w="2880" w:type="dxa"/>
            <w:vAlign w:val="center"/>
          </w:tcPr>
          <w:p w14:paraId="524ABB7E">
            <w:pPr>
              <w:spacing w:after="0" w:line="240" w:lineRule="auto"/>
            </w:pPr>
            <w:r>
              <w:rPr>
                <w:rFonts w:ascii="Arial" w:hAnsi="Arial"/>
                <w:b w:val="0"/>
                <w:sz w:val="18"/>
              </w:rPr>
              <w:t>124</w:t>
            </w:r>
          </w:p>
        </w:tc>
      </w:tr>
      <w:tr w14:paraId="069D4498">
        <w:trPr>
          <w:jc w:val="center"/>
        </w:trPr>
        <w:tc>
          <w:tcPr>
            <w:tcW w:w="4032" w:type="dxa"/>
            <w:vAlign w:val="center"/>
          </w:tcPr>
          <w:p w14:paraId="2D2DDD9F">
            <w:pPr>
              <w:spacing w:after="0" w:line="240" w:lineRule="auto"/>
            </w:pPr>
            <w:r>
              <w:rPr>
                <w:rFonts w:ascii="Arial" w:hAnsi="Arial"/>
                <w:b w:val="0"/>
                <w:sz w:val="18"/>
              </w:rPr>
              <w:t>Пересечение Experimental_index</w:t>
            </w:r>
          </w:p>
        </w:tc>
        <w:tc>
          <w:tcPr>
            <w:tcW w:w="2880" w:type="dxa"/>
            <w:vAlign w:val="center"/>
          </w:tcPr>
          <w:p w14:paraId="498B11B7">
            <w:pPr>
              <w:spacing w:after="0" w:line="240" w:lineRule="auto"/>
            </w:pPr>
            <w:r>
              <w:rPr>
                <w:rFonts w:ascii="Arial" w:hAnsi="Arial"/>
                <w:b w:val="0"/>
                <w:sz w:val="18"/>
              </w:rPr>
              <w:t>Нет</w:t>
            </w:r>
          </w:p>
        </w:tc>
        <w:tc>
          <w:tcPr>
            <w:tcW w:w="2880" w:type="dxa"/>
            <w:vAlign w:val="center"/>
          </w:tcPr>
          <w:p w14:paraId="065C77F2">
            <w:pPr>
              <w:spacing w:after="0" w:line="240" w:lineRule="auto"/>
            </w:pPr>
            <w:r>
              <w:rPr>
                <w:rFonts w:ascii="Arial" w:hAnsi="Arial"/>
                <w:b w:val="0"/>
                <w:sz w:val="18"/>
              </w:rPr>
              <w:t>Нет</w:t>
            </w:r>
          </w:p>
        </w:tc>
      </w:tr>
    </w:tbl>
    <w:p w14:paraId="06A3BFD8"/>
    <w:p w14:paraId="75350BB0">
      <w:r>
        <w:t>Таким образом, тестовые строки из тех же Experimental_index, на которых обучалась модель, не используются. Однако разные экспериментальные серии с одинаковым Drug_Group могут находиться в разных выборках. Следовательно, эта схема проверяет перенос на новые серии, но не гарантирует независимую проверку на полностью новых лекарственных веществах.</w:t>
      </w:r>
    </w:p>
    <w:p w14:paraId="49C8E928">
      <w:pPr>
        <w:pStyle w:val="2"/>
      </w:pPr>
      <w:r>
        <w:t>5. Обучение модели</w:t>
      </w:r>
    </w:p>
    <w:p w14:paraId="49E2A08B">
      <w:r>
        <w:t xml:space="preserve">Используется LightGBM Regressor </w:t>
      </w:r>
      <w:r>
        <w:rPr>
          <w:lang w:val="ru-RU"/>
        </w:rPr>
        <w:t>–</w:t>
      </w:r>
      <w:r>
        <w:t xml:space="preserve"> градиентный бустинг на деревьях решений, реализованный классом LGBMRegressor. Модель обучается вызовом model.fit(X_train, y_train).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1440"/>
        <w:gridCol w:w="5904"/>
      </w:tblGrid>
      <w:tr w14:paraId="0248E430">
        <w:trPr>
          <w:jc w:val="center"/>
        </w:trPr>
        <w:tc>
          <w:tcPr>
            <w:tcW w:w="2448" w:type="dxa"/>
            <w:shd w:val="clear" w:color="auto" w:fill="D9EAF7"/>
            <w:vAlign w:val="center"/>
          </w:tcPr>
          <w:p w14:paraId="6E95013A">
            <w:pPr>
              <w:spacing w:after="0" w:line="240" w:lineRule="auto"/>
            </w:pPr>
            <w:r>
              <w:rPr>
                <w:rFonts w:ascii="Arial" w:hAnsi="Arial"/>
                <w:b/>
                <w:sz w:val="18"/>
              </w:rPr>
              <w:t>Параметр</w:t>
            </w:r>
          </w:p>
        </w:tc>
        <w:tc>
          <w:tcPr>
            <w:tcW w:w="1440" w:type="dxa"/>
            <w:shd w:val="clear" w:color="auto" w:fill="D9EAF7"/>
            <w:vAlign w:val="center"/>
          </w:tcPr>
          <w:p w14:paraId="34BD975E">
            <w:pPr>
              <w:spacing w:after="0" w:line="240" w:lineRule="auto"/>
            </w:pPr>
            <w:r>
              <w:rPr>
                <w:rFonts w:ascii="Arial" w:hAnsi="Arial"/>
                <w:b/>
                <w:sz w:val="18"/>
              </w:rPr>
              <w:t>Значение</w:t>
            </w:r>
          </w:p>
        </w:tc>
        <w:tc>
          <w:tcPr>
            <w:tcW w:w="5904" w:type="dxa"/>
            <w:shd w:val="clear" w:color="auto" w:fill="D9EAF7"/>
            <w:vAlign w:val="center"/>
          </w:tcPr>
          <w:p w14:paraId="3713622B">
            <w:pPr>
              <w:spacing w:after="0" w:line="240" w:lineRule="auto"/>
            </w:pPr>
            <w:r>
              <w:rPr>
                <w:rFonts w:ascii="Arial" w:hAnsi="Arial"/>
                <w:b/>
                <w:sz w:val="18"/>
              </w:rPr>
              <w:t>Назначение</w:t>
            </w:r>
          </w:p>
        </w:tc>
      </w:tr>
      <w:tr w14:paraId="5CD74894">
        <w:trPr>
          <w:jc w:val="center"/>
        </w:trPr>
        <w:tc>
          <w:tcPr>
            <w:tcW w:w="2448" w:type="dxa"/>
            <w:vAlign w:val="center"/>
          </w:tcPr>
          <w:p w14:paraId="1CFB37E9">
            <w:pPr>
              <w:spacing w:after="0" w:line="240" w:lineRule="auto"/>
            </w:pPr>
            <w:r>
              <w:rPr>
                <w:rFonts w:ascii="Arial" w:hAnsi="Arial"/>
                <w:b w:val="0"/>
                <w:sz w:val="18"/>
              </w:rPr>
              <w:t>n_estimators</w:t>
            </w:r>
          </w:p>
        </w:tc>
        <w:tc>
          <w:tcPr>
            <w:tcW w:w="1440" w:type="dxa"/>
            <w:vAlign w:val="center"/>
          </w:tcPr>
          <w:p w14:paraId="3EC10707">
            <w:pPr>
              <w:spacing w:after="0" w:line="240" w:lineRule="auto"/>
            </w:pPr>
            <w:r>
              <w:rPr>
                <w:rFonts w:ascii="Arial" w:hAnsi="Arial"/>
                <w:b w:val="0"/>
                <w:sz w:val="18"/>
              </w:rPr>
              <w:t>100</w:t>
            </w:r>
          </w:p>
        </w:tc>
        <w:tc>
          <w:tcPr>
            <w:tcW w:w="5904" w:type="dxa"/>
            <w:vAlign w:val="center"/>
          </w:tcPr>
          <w:p w14:paraId="55969618">
            <w:pPr>
              <w:spacing w:after="0" w:line="240" w:lineRule="auto"/>
            </w:pPr>
            <w:r>
              <w:rPr>
                <w:rFonts w:ascii="Arial" w:hAnsi="Arial"/>
                <w:b w:val="0"/>
                <w:sz w:val="18"/>
              </w:rPr>
              <w:t>Количество деревьев</w:t>
            </w:r>
          </w:p>
        </w:tc>
      </w:tr>
      <w:tr w14:paraId="2D9AFE8B">
        <w:trPr>
          <w:jc w:val="center"/>
        </w:trPr>
        <w:tc>
          <w:tcPr>
            <w:tcW w:w="2448" w:type="dxa"/>
            <w:vAlign w:val="center"/>
          </w:tcPr>
          <w:p w14:paraId="796E3A71">
            <w:pPr>
              <w:spacing w:after="0" w:line="240" w:lineRule="auto"/>
            </w:pPr>
            <w:r>
              <w:rPr>
                <w:rFonts w:ascii="Arial" w:hAnsi="Arial"/>
                <w:b w:val="0"/>
                <w:sz w:val="18"/>
              </w:rPr>
              <w:t>learning_rate</w:t>
            </w:r>
          </w:p>
        </w:tc>
        <w:tc>
          <w:tcPr>
            <w:tcW w:w="1440" w:type="dxa"/>
            <w:vAlign w:val="center"/>
          </w:tcPr>
          <w:p w14:paraId="0BB3B7FA">
            <w:pPr>
              <w:spacing w:after="0" w:line="240" w:lineRule="auto"/>
            </w:pPr>
            <w:r>
              <w:rPr>
                <w:rFonts w:ascii="Arial" w:hAnsi="Arial"/>
                <w:b w:val="0"/>
                <w:sz w:val="18"/>
              </w:rPr>
              <w:t>0,05</w:t>
            </w:r>
          </w:p>
        </w:tc>
        <w:tc>
          <w:tcPr>
            <w:tcW w:w="5904" w:type="dxa"/>
            <w:vAlign w:val="center"/>
          </w:tcPr>
          <w:p w14:paraId="3ED66017">
            <w:pPr>
              <w:spacing w:after="0" w:line="240" w:lineRule="auto"/>
            </w:pPr>
            <w:r>
              <w:rPr>
                <w:rFonts w:ascii="Arial" w:hAnsi="Arial"/>
                <w:b w:val="0"/>
                <w:sz w:val="18"/>
              </w:rPr>
              <w:t>Скорость обновления прогноза</w:t>
            </w:r>
          </w:p>
        </w:tc>
      </w:tr>
      <w:tr w14:paraId="565C2322">
        <w:trPr>
          <w:jc w:val="center"/>
        </w:trPr>
        <w:tc>
          <w:tcPr>
            <w:tcW w:w="2448" w:type="dxa"/>
            <w:vAlign w:val="center"/>
          </w:tcPr>
          <w:p w14:paraId="3112CDBC">
            <w:pPr>
              <w:spacing w:after="0" w:line="240" w:lineRule="auto"/>
            </w:pPr>
            <w:r>
              <w:rPr>
                <w:rFonts w:ascii="Arial" w:hAnsi="Arial"/>
                <w:b w:val="0"/>
                <w:sz w:val="18"/>
              </w:rPr>
              <w:t>max_depth</w:t>
            </w:r>
          </w:p>
        </w:tc>
        <w:tc>
          <w:tcPr>
            <w:tcW w:w="1440" w:type="dxa"/>
            <w:vAlign w:val="center"/>
          </w:tcPr>
          <w:p w14:paraId="30BC684D">
            <w:pPr>
              <w:spacing w:after="0" w:line="240" w:lineRule="auto"/>
            </w:pPr>
            <w:r>
              <w:rPr>
                <w:rFonts w:ascii="Arial" w:hAnsi="Arial"/>
                <w:b w:val="0"/>
                <w:sz w:val="18"/>
              </w:rPr>
              <w:t>3</w:t>
            </w:r>
          </w:p>
        </w:tc>
        <w:tc>
          <w:tcPr>
            <w:tcW w:w="5904" w:type="dxa"/>
            <w:vAlign w:val="center"/>
          </w:tcPr>
          <w:p w14:paraId="24A76064">
            <w:pPr>
              <w:spacing w:after="0" w:line="240" w:lineRule="auto"/>
            </w:pPr>
            <w:r>
              <w:rPr>
                <w:rFonts w:ascii="Arial" w:hAnsi="Arial"/>
                <w:b w:val="0"/>
                <w:sz w:val="18"/>
              </w:rPr>
              <w:t>Ограничение максимальной глубины дерева</w:t>
            </w:r>
          </w:p>
        </w:tc>
      </w:tr>
      <w:tr w14:paraId="4DD55933">
        <w:trPr>
          <w:jc w:val="center"/>
        </w:trPr>
        <w:tc>
          <w:tcPr>
            <w:tcW w:w="2448" w:type="dxa"/>
            <w:vAlign w:val="center"/>
          </w:tcPr>
          <w:p w14:paraId="086A7B3A">
            <w:pPr>
              <w:spacing w:after="0" w:line="240" w:lineRule="auto"/>
            </w:pPr>
            <w:r>
              <w:rPr>
                <w:rFonts w:ascii="Arial" w:hAnsi="Arial"/>
                <w:b w:val="0"/>
                <w:sz w:val="18"/>
              </w:rPr>
              <w:t>min_child_samples</w:t>
            </w:r>
          </w:p>
        </w:tc>
        <w:tc>
          <w:tcPr>
            <w:tcW w:w="1440" w:type="dxa"/>
            <w:vAlign w:val="center"/>
          </w:tcPr>
          <w:p w14:paraId="3AEE4368">
            <w:pPr>
              <w:spacing w:after="0" w:line="240" w:lineRule="auto"/>
            </w:pPr>
            <w:r>
              <w:rPr>
                <w:rFonts w:ascii="Arial" w:hAnsi="Arial"/>
                <w:b w:val="0"/>
                <w:sz w:val="18"/>
              </w:rPr>
              <w:t>20</w:t>
            </w:r>
          </w:p>
        </w:tc>
        <w:tc>
          <w:tcPr>
            <w:tcW w:w="5904" w:type="dxa"/>
            <w:vAlign w:val="center"/>
          </w:tcPr>
          <w:p w14:paraId="3DA0033C">
            <w:pPr>
              <w:spacing w:after="0" w:line="240" w:lineRule="auto"/>
            </w:pPr>
            <w:r>
              <w:rPr>
                <w:rFonts w:ascii="Arial" w:hAnsi="Arial"/>
                <w:b w:val="0"/>
                <w:sz w:val="18"/>
              </w:rPr>
              <w:t>Минимальное число наблюдений в листе</w:t>
            </w:r>
          </w:p>
        </w:tc>
      </w:tr>
      <w:tr w14:paraId="63F914EF">
        <w:trPr>
          <w:jc w:val="center"/>
        </w:trPr>
        <w:tc>
          <w:tcPr>
            <w:tcW w:w="2448" w:type="dxa"/>
            <w:vAlign w:val="center"/>
          </w:tcPr>
          <w:p w14:paraId="6794B32B">
            <w:pPr>
              <w:spacing w:after="0" w:line="240" w:lineRule="auto"/>
            </w:pPr>
            <w:r>
              <w:rPr>
                <w:rFonts w:ascii="Arial" w:hAnsi="Arial"/>
                <w:b w:val="0"/>
                <w:sz w:val="18"/>
              </w:rPr>
              <w:t>random_state</w:t>
            </w:r>
          </w:p>
        </w:tc>
        <w:tc>
          <w:tcPr>
            <w:tcW w:w="1440" w:type="dxa"/>
            <w:vAlign w:val="center"/>
          </w:tcPr>
          <w:p w14:paraId="4952BCA8">
            <w:pPr>
              <w:spacing w:after="0" w:line="240" w:lineRule="auto"/>
            </w:pPr>
            <w:r>
              <w:rPr>
                <w:rFonts w:ascii="Arial" w:hAnsi="Arial"/>
                <w:b w:val="0"/>
                <w:sz w:val="18"/>
              </w:rPr>
              <w:t>42</w:t>
            </w:r>
          </w:p>
        </w:tc>
        <w:tc>
          <w:tcPr>
            <w:tcW w:w="5904" w:type="dxa"/>
            <w:vAlign w:val="center"/>
          </w:tcPr>
          <w:p w14:paraId="7285E2DC">
            <w:pPr>
              <w:spacing w:after="0" w:line="240" w:lineRule="auto"/>
            </w:pPr>
            <w:r>
              <w:rPr>
                <w:rFonts w:ascii="Arial" w:hAnsi="Arial"/>
                <w:b w:val="0"/>
                <w:sz w:val="18"/>
              </w:rPr>
              <w:t>Фиксированное случайное состояние</w:t>
            </w:r>
          </w:p>
        </w:tc>
      </w:tr>
      <w:tr w14:paraId="31943C23">
        <w:trPr>
          <w:jc w:val="center"/>
        </w:trPr>
        <w:tc>
          <w:tcPr>
            <w:tcW w:w="2448" w:type="dxa"/>
            <w:vAlign w:val="center"/>
          </w:tcPr>
          <w:p w14:paraId="5243A0F6">
            <w:pPr>
              <w:spacing w:after="0" w:line="240" w:lineRule="auto"/>
            </w:pPr>
            <w:r>
              <w:rPr>
                <w:rFonts w:ascii="Arial" w:hAnsi="Arial"/>
                <w:b w:val="0"/>
                <w:sz w:val="18"/>
              </w:rPr>
              <w:t>verbosity</w:t>
            </w:r>
          </w:p>
        </w:tc>
        <w:tc>
          <w:tcPr>
            <w:tcW w:w="1440" w:type="dxa"/>
            <w:vAlign w:val="center"/>
          </w:tcPr>
          <w:p w14:paraId="6E0612F3">
            <w:pPr>
              <w:spacing w:after="0" w:line="240" w:lineRule="auto"/>
            </w:pPr>
            <w:r>
              <w:rPr>
                <w:rFonts w:ascii="Arial" w:hAnsi="Arial"/>
                <w:b w:val="0"/>
                <w:sz w:val="18"/>
              </w:rPr>
              <w:t>-1</w:t>
            </w:r>
          </w:p>
        </w:tc>
        <w:tc>
          <w:tcPr>
            <w:tcW w:w="5904" w:type="dxa"/>
            <w:vAlign w:val="center"/>
          </w:tcPr>
          <w:p w14:paraId="7953C208">
            <w:pPr>
              <w:spacing w:after="0" w:line="240" w:lineRule="auto"/>
            </w:pPr>
            <w:r>
              <w:rPr>
                <w:rFonts w:ascii="Arial" w:hAnsi="Arial"/>
                <w:b w:val="0"/>
                <w:sz w:val="18"/>
              </w:rPr>
              <w:t>Подавление служебных сообщений LightGBM</w:t>
            </w:r>
          </w:p>
        </w:tc>
      </w:tr>
    </w:tbl>
    <w:p w14:paraId="2D93DD4C"/>
    <w:p w14:paraId="7302E3A7">
      <w:pPr>
        <w:pStyle w:val="2"/>
      </w:pPr>
      <w:r>
        <w:t>6. Оценка качества</w:t>
      </w:r>
    </w:p>
    <w:p w14:paraId="03157CF8">
      <w:r>
        <w:t>После обучения код рассчитывает предсказания отдельно для обучающей и тестовой выборок. Качество оценивается двумя метриками: RMSE и коэффициентом детерминации R².</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3"/>
        <w:gridCol w:w="3384"/>
        <w:gridCol w:w="3385"/>
      </w:tblGrid>
      <w:tr w14:paraId="2AB3E95C">
        <w:trPr>
          <w:jc w:val="center"/>
        </w:trPr>
        <w:tc>
          <w:tcPr>
            <w:tcW w:w="3456" w:type="dxa"/>
            <w:shd w:val="clear" w:color="auto" w:fill="D9EAF7"/>
            <w:vAlign w:val="center"/>
          </w:tcPr>
          <w:p w14:paraId="13131487">
            <w:pPr>
              <w:spacing w:after="0" w:line="240" w:lineRule="auto"/>
            </w:pPr>
            <w:r>
              <w:rPr>
                <w:rFonts w:ascii="Arial" w:hAnsi="Arial"/>
                <w:b/>
                <w:sz w:val="18"/>
              </w:rPr>
              <w:t>Метрика</w:t>
            </w:r>
          </w:p>
        </w:tc>
        <w:tc>
          <w:tcPr>
            <w:tcW w:w="3456" w:type="dxa"/>
            <w:shd w:val="clear" w:color="auto" w:fill="D9EAF7"/>
            <w:vAlign w:val="center"/>
          </w:tcPr>
          <w:p w14:paraId="526D805B">
            <w:pPr>
              <w:spacing w:after="0" w:line="240" w:lineRule="auto"/>
            </w:pPr>
            <w:r>
              <w:rPr>
                <w:rFonts w:ascii="Arial" w:hAnsi="Arial"/>
                <w:b/>
                <w:sz w:val="18"/>
              </w:rPr>
              <w:t>Обучающая выборка</w:t>
            </w:r>
          </w:p>
        </w:tc>
        <w:tc>
          <w:tcPr>
            <w:tcW w:w="3456" w:type="dxa"/>
            <w:shd w:val="clear" w:color="auto" w:fill="D9EAF7"/>
            <w:vAlign w:val="center"/>
          </w:tcPr>
          <w:p w14:paraId="6BBC625F">
            <w:pPr>
              <w:spacing w:after="0" w:line="240" w:lineRule="auto"/>
            </w:pPr>
            <w:r>
              <w:rPr>
                <w:rFonts w:ascii="Arial" w:hAnsi="Arial"/>
                <w:b/>
                <w:sz w:val="18"/>
              </w:rPr>
              <w:t>Тестовая выборка</w:t>
            </w:r>
          </w:p>
        </w:tc>
      </w:tr>
      <w:tr w14:paraId="41516009">
        <w:trPr>
          <w:jc w:val="center"/>
        </w:trPr>
        <w:tc>
          <w:tcPr>
            <w:tcW w:w="3456" w:type="dxa"/>
            <w:vAlign w:val="center"/>
          </w:tcPr>
          <w:p w14:paraId="160FC273">
            <w:pPr>
              <w:spacing w:after="0" w:line="240" w:lineRule="auto"/>
            </w:pPr>
            <w:r>
              <w:rPr>
                <w:rFonts w:ascii="Arial" w:hAnsi="Arial"/>
                <w:b w:val="0"/>
                <w:sz w:val="18"/>
              </w:rPr>
              <w:t>RMSE</w:t>
            </w:r>
          </w:p>
        </w:tc>
        <w:tc>
          <w:tcPr>
            <w:tcW w:w="3456" w:type="dxa"/>
            <w:vAlign w:val="center"/>
          </w:tcPr>
          <w:p w14:paraId="7295F855">
            <w:pPr>
              <w:spacing w:after="0" w:line="240" w:lineRule="auto"/>
            </w:pPr>
            <w:r>
              <w:rPr>
                <w:rFonts w:ascii="Arial" w:hAnsi="Arial"/>
                <w:b w:val="0"/>
                <w:sz w:val="18"/>
              </w:rPr>
              <w:t>0,1984</w:t>
            </w:r>
          </w:p>
        </w:tc>
        <w:tc>
          <w:tcPr>
            <w:tcW w:w="3456" w:type="dxa"/>
            <w:vAlign w:val="center"/>
          </w:tcPr>
          <w:p w14:paraId="5BB93AA1">
            <w:pPr>
              <w:spacing w:after="0" w:line="240" w:lineRule="auto"/>
            </w:pPr>
            <w:r>
              <w:rPr>
                <w:rFonts w:ascii="Arial" w:hAnsi="Arial"/>
                <w:b w:val="0"/>
                <w:sz w:val="18"/>
              </w:rPr>
              <w:t>0,2424</w:t>
            </w:r>
          </w:p>
        </w:tc>
      </w:tr>
      <w:tr w14:paraId="7AF619B7">
        <w:trPr>
          <w:jc w:val="center"/>
        </w:trPr>
        <w:tc>
          <w:tcPr>
            <w:tcW w:w="3456" w:type="dxa"/>
            <w:vAlign w:val="center"/>
          </w:tcPr>
          <w:p w14:paraId="4C1571D4">
            <w:pPr>
              <w:spacing w:after="0" w:line="240" w:lineRule="auto"/>
            </w:pPr>
            <w:r>
              <w:rPr>
                <w:rFonts w:ascii="Arial" w:hAnsi="Arial"/>
                <w:b w:val="0"/>
                <w:sz w:val="18"/>
              </w:rPr>
              <w:t>R²</w:t>
            </w:r>
          </w:p>
        </w:tc>
        <w:tc>
          <w:tcPr>
            <w:tcW w:w="3456" w:type="dxa"/>
            <w:vAlign w:val="center"/>
          </w:tcPr>
          <w:p w14:paraId="393BB7C5">
            <w:pPr>
              <w:spacing w:after="0" w:line="240" w:lineRule="auto"/>
            </w:pPr>
            <w:r>
              <w:rPr>
                <w:rFonts w:ascii="Arial" w:hAnsi="Arial"/>
                <w:b w:val="0"/>
                <w:sz w:val="18"/>
              </w:rPr>
              <w:t>0,6663</w:t>
            </w:r>
          </w:p>
        </w:tc>
        <w:tc>
          <w:tcPr>
            <w:tcW w:w="3456" w:type="dxa"/>
            <w:vAlign w:val="center"/>
          </w:tcPr>
          <w:p w14:paraId="0B1047F3">
            <w:pPr>
              <w:spacing w:after="0" w:line="240" w:lineRule="auto"/>
            </w:pPr>
            <w:r>
              <w:rPr>
                <w:rFonts w:ascii="Arial" w:hAnsi="Arial"/>
                <w:b w:val="0"/>
                <w:sz w:val="18"/>
              </w:rPr>
              <w:t>0,5554</w:t>
            </w:r>
          </w:p>
        </w:tc>
      </w:tr>
    </w:tbl>
    <w:p w14:paraId="0169BF9E"/>
    <w:p w14:paraId="50AB77E2">
      <w:r>
        <w:t>RMSE показывает масштаб ошибки прогноза в единицах Dissolution, сильнее штрафуя большие отклонения. R² = 0,5554 не означает точность 55,54%; это коэффициент, характеризующий качество модели относительно базового предсказания средним значением целевой переменной.</w:t>
      </w:r>
    </w:p>
    <w:p w14:paraId="30724ECA">
      <w:r>
        <w:t>Тестовый RMSE выше обучающего, а тестовый R² ниже обучающего. Это указывает на снижение качества при переходе к не использованным при обучении экспериментальным сериям. Полученные метрики характеризуют один фиксированный групповой сплит и сами по себе не подтверждают готовность модели к практическому выбору состава.</w:t>
      </w:r>
    </w:p>
    <w:p w14:paraId="7B700CC8">
      <w:pPr>
        <w:pStyle w:val="2"/>
      </w:pPr>
      <w:r>
        <w:t>7. Анализ ошибок на тестовой выборке</w:t>
      </w:r>
    </w:p>
    <w:p w14:paraId="2110C106">
      <w:r>
        <w:t xml:space="preserve">Для тестовых наблюдений код создаёт столбцы Predicted, Error и Absolute_Error. В актуальном коде Error = Predicted − Dissolution, а Absolute_Error </w:t>
      </w:r>
      <w:bookmarkStart w:id="0" w:name="_GoBack"/>
      <w:bookmarkEnd w:id="0"/>
      <w:r>
        <w:rPr>
          <w:lang w:val="ru-RU"/>
        </w:rPr>
        <w:t>–</w:t>
      </w:r>
      <w:r>
        <w:t xml:space="preserve"> модуль этой разности. Следовательно, положительная Error означает завышение прогноза, отрицательная </w:t>
      </w:r>
      <w:r>
        <w:rPr>
          <w:lang w:val="ru-RU"/>
        </w:rPr>
        <w:t>–</w:t>
      </w:r>
      <w:r>
        <w:t xml:space="preserve"> занижение.</w:t>
      </w:r>
    </w:p>
    <w:p w14:paraId="1FBA8CAF">
      <w:r>
        <w:t>Далее результаты группируются по Experimental_index и Drug_Group. Для каждой серии рассчитываются число точек, средняя абсолютная ошибка (MAE), RMSE, среднее фактическое растворение и среднее предсказанное растворение. Код выводит 10 серий с наибольшей MAE, характеристики пяти наиболее проблемных серий, 20 отдельных наблюдений с наибольшей абсолютной ошибкой, а также предсказания для серий 71 и 73, если они присутствуют в тесте.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864"/>
        <w:gridCol w:w="1800"/>
        <w:gridCol w:w="1944"/>
        <w:gridCol w:w="1008"/>
        <w:gridCol w:w="1008"/>
      </w:tblGrid>
      <w:tr w14:paraId="3292837D">
        <w:trPr>
          <w:jc w:val="center"/>
        </w:trPr>
        <w:tc>
          <w:tcPr>
            <w:tcW w:w="936" w:type="dxa"/>
            <w:shd w:val="clear" w:color="auto" w:fill="D9EAF7"/>
            <w:vAlign w:val="center"/>
          </w:tcPr>
          <w:p w14:paraId="4C14A5E7">
            <w:pPr>
              <w:spacing w:after="0" w:line="240" w:lineRule="auto"/>
            </w:pPr>
            <w:r>
              <w:rPr>
                <w:rFonts w:ascii="Arial" w:hAnsi="Arial"/>
                <w:b/>
                <w:sz w:val="18"/>
              </w:rPr>
              <w:t>Серия</w:t>
            </w:r>
          </w:p>
        </w:tc>
        <w:tc>
          <w:tcPr>
            <w:tcW w:w="864" w:type="dxa"/>
            <w:shd w:val="clear" w:color="auto" w:fill="D9EAF7"/>
            <w:vAlign w:val="center"/>
          </w:tcPr>
          <w:p w14:paraId="5BCB86BE">
            <w:pPr>
              <w:spacing w:after="0" w:line="240" w:lineRule="auto"/>
            </w:pPr>
            <w:r>
              <w:rPr>
                <w:rFonts w:ascii="Arial" w:hAnsi="Arial"/>
                <w:b/>
                <w:sz w:val="18"/>
              </w:rPr>
              <w:t>Точек</w:t>
            </w:r>
          </w:p>
        </w:tc>
        <w:tc>
          <w:tcPr>
            <w:tcW w:w="1800" w:type="dxa"/>
            <w:shd w:val="clear" w:color="auto" w:fill="D9EAF7"/>
            <w:vAlign w:val="center"/>
          </w:tcPr>
          <w:p w14:paraId="0584DD9C">
            <w:pPr>
              <w:spacing w:after="0" w:line="240" w:lineRule="auto"/>
            </w:pPr>
            <w:r>
              <w:rPr>
                <w:rFonts w:ascii="Arial" w:hAnsi="Arial"/>
                <w:b/>
                <w:sz w:val="18"/>
              </w:rPr>
              <w:t>Среднее фактическое</w:t>
            </w:r>
          </w:p>
        </w:tc>
        <w:tc>
          <w:tcPr>
            <w:tcW w:w="1944" w:type="dxa"/>
            <w:shd w:val="clear" w:color="auto" w:fill="D9EAF7"/>
            <w:vAlign w:val="center"/>
          </w:tcPr>
          <w:p w14:paraId="6A585EE9">
            <w:pPr>
              <w:spacing w:after="0" w:line="240" w:lineRule="auto"/>
            </w:pPr>
            <w:r>
              <w:rPr>
                <w:rFonts w:ascii="Arial" w:hAnsi="Arial"/>
                <w:b/>
                <w:sz w:val="18"/>
              </w:rPr>
              <w:t>Среднее предсказанное</w:t>
            </w:r>
          </w:p>
        </w:tc>
        <w:tc>
          <w:tcPr>
            <w:tcW w:w="1008" w:type="dxa"/>
            <w:shd w:val="clear" w:color="auto" w:fill="D9EAF7"/>
            <w:vAlign w:val="center"/>
          </w:tcPr>
          <w:p w14:paraId="36D880A3">
            <w:pPr>
              <w:spacing w:after="0" w:line="240" w:lineRule="auto"/>
            </w:pPr>
            <w:r>
              <w:rPr>
                <w:rFonts w:ascii="Arial" w:hAnsi="Arial"/>
                <w:b/>
                <w:sz w:val="18"/>
              </w:rPr>
              <w:t>MAE</w:t>
            </w:r>
          </w:p>
        </w:tc>
        <w:tc>
          <w:tcPr>
            <w:tcW w:w="1008" w:type="dxa"/>
            <w:shd w:val="clear" w:color="auto" w:fill="D9EAF7"/>
            <w:vAlign w:val="center"/>
          </w:tcPr>
          <w:p w14:paraId="5C8A5A0C">
            <w:pPr>
              <w:spacing w:after="0" w:line="240" w:lineRule="auto"/>
            </w:pPr>
            <w:r>
              <w:rPr>
                <w:rFonts w:ascii="Arial" w:hAnsi="Arial"/>
                <w:b/>
                <w:sz w:val="18"/>
              </w:rPr>
              <w:t>RMSE</w:t>
            </w:r>
          </w:p>
        </w:tc>
      </w:tr>
      <w:tr w14:paraId="2ECCDCD7">
        <w:trPr>
          <w:jc w:val="center"/>
        </w:trPr>
        <w:tc>
          <w:tcPr>
            <w:tcW w:w="936" w:type="dxa"/>
            <w:vAlign w:val="center"/>
          </w:tcPr>
          <w:p w14:paraId="44AB3076">
            <w:pPr>
              <w:spacing w:after="0" w:line="240" w:lineRule="auto"/>
            </w:pPr>
            <w:r>
              <w:rPr>
                <w:rFonts w:ascii="Arial" w:hAnsi="Arial"/>
                <w:b w:val="0"/>
                <w:sz w:val="18"/>
              </w:rPr>
              <w:t>71</w:t>
            </w:r>
          </w:p>
        </w:tc>
        <w:tc>
          <w:tcPr>
            <w:tcW w:w="864" w:type="dxa"/>
            <w:vAlign w:val="center"/>
          </w:tcPr>
          <w:p w14:paraId="19EC5258">
            <w:pPr>
              <w:spacing w:after="0" w:line="240" w:lineRule="auto"/>
            </w:pPr>
            <w:r>
              <w:rPr>
                <w:rFonts w:ascii="Arial" w:hAnsi="Arial"/>
                <w:b w:val="0"/>
                <w:sz w:val="18"/>
              </w:rPr>
              <w:t>13</w:t>
            </w:r>
          </w:p>
        </w:tc>
        <w:tc>
          <w:tcPr>
            <w:tcW w:w="1800" w:type="dxa"/>
            <w:vAlign w:val="center"/>
          </w:tcPr>
          <w:p w14:paraId="4FDBAC65">
            <w:pPr>
              <w:spacing w:after="0" w:line="240" w:lineRule="auto"/>
            </w:pPr>
            <w:r>
              <w:rPr>
                <w:rFonts w:ascii="Arial" w:hAnsi="Arial"/>
                <w:b w:val="0"/>
                <w:sz w:val="18"/>
              </w:rPr>
              <w:t>0,0123</w:t>
            </w:r>
          </w:p>
        </w:tc>
        <w:tc>
          <w:tcPr>
            <w:tcW w:w="1944" w:type="dxa"/>
            <w:vAlign w:val="center"/>
          </w:tcPr>
          <w:p w14:paraId="65B6CD9E">
            <w:pPr>
              <w:spacing w:after="0" w:line="240" w:lineRule="auto"/>
            </w:pPr>
            <w:r>
              <w:rPr>
                <w:rFonts w:ascii="Arial" w:hAnsi="Arial"/>
                <w:b w:val="0"/>
                <w:sz w:val="18"/>
              </w:rPr>
              <w:t>0,6410</w:t>
            </w:r>
          </w:p>
        </w:tc>
        <w:tc>
          <w:tcPr>
            <w:tcW w:w="1008" w:type="dxa"/>
            <w:vAlign w:val="center"/>
          </w:tcPr>
          <w:p w14:paraId="76A7CAAB">
            <w:pPr>
              <w:spacing w:after="0" w:line="240" w:lineRule="auto"/>
            </w:pPr>
            <w:r>
              <w:rPr>
                <w:rFonts w:ascii="Arial" w:hAnsi="Arial"/>
                <w:b w:val="0"/>
                <w:sz w:val="18"/>
              </w:rPr>
              <w:t>0,6287</w:t>
            </w:r>
          </w:p>
        </w:tc>
        <w:tc>
          <w:tcPr>
            <w:tcW w:w="1008" w:type="dxa"/>
            <w:vAlign w:val="center"/>
          </w:tcPr>
          <w:p w14:paraId="09DFF865">
            <w:pPr>
              <w:spacing w:after="0" w:line="240" w:lineRule="auto"/>
            </w:pPr>
            <w:r>
              <w:rPr>
                <w:rFonts w:ascii="Arial" w:hAnsi="Arial"/>
                <w:b w:val="0"/>
                <w:sz w:val="18"/>
              </w:rPr>
              <w:t>0,6496</w:t>
            </w:r>
          </w:p>
        </w:tc>
      </w:tr>
      <w:tr w14:paraId="0B74C36D">
        <w:trPr>
          <w:jc w:val="center"/>
        </w:trPr>
        <w:tc>
          <w:tcPr>
            <w:tcW w:w="936" w:type="dxa"/>
            <w:vAlign w:val="center"/>
          </w:tcPr>
          <w:p w14:paraId="682C2EC1">
            <w:pPr>
              <w:spacing w:after="0" w:line="240" w:lineRule="auto"/>
            </w:pPr>
            <w:r>
              <w:rPr>
                <w:rFonts w:ascii="Arial" w:hAnsi="Arial"/>
                <w:b w:val="0"/>
                <w:sz w:val="18"/>
              </w:rPr>
              <w:t>73</w:t>
            </w:r>
          </w:p>
        </w:tc>
        <w:tc>
          <w:tcPr>
            <w:tcW w:w="864" w:type="dxa"/>
            <w:vAlign w:val="center"/>
          </w:tcPr>
          <w:p w14:paraId="63145C59">
            <w:pPr>
              <w:spacing w:after="0" w:line="240" w:lineRule="auto"/>
            </w:pPr>
            <w:r>
              <w:rPr>
                <w:rFonts w:ascii="Arial" w:hAnsi="Arial"/>
                <w:b w:val="0"/>
                <w:sz w:val="18"/>
              </w:rPr>
              <w:t>13</w:t>
            </w:r>
          </w:p>
        </w:tc>
        <w:tc>
          <w:tcPr>
            <w:tcW w:w="1800" w:type="dxa"/>
            <w:vAlign w:val="center"/>
          </w:tcPr>
          <w:p w14:paraId="0B1EB111">
            <w:pPr>
              <w:spacing w:after="0" w:line="240" w:lineRule="auto"/>
            </w:pPr>
            <w:r>
              <w:rPr>
                <w:rFonts w:ascii="Arial" w:hAnsi="Arial"/>
                <w:b w:val="0"/>
                <w:sz w:val="18"/>
              </w:rPr>
              <w:t>0,0443</w:t>
            </w:r>
          </w:p>
        </w:tc>
        <w:tc>
          <w:tcPr>
            <w:tcW w:w="1944" w:type="dxa"/>
            <w:vAlign w:val="center"/>
          </w:tcPr>
          <w:p w14:paraId="0355A844">
            <w:pPr>
              <w:spacing w:after="0" w:line="240" w:lineRule="auto"/>
            </w:pPr>
            <w:r>
              <w:rPr>
                <w:rFonts w:ascii="Arial" w:hAnsi="Arial"/>
                <w:b w:val="0"/>
                <w:sz w:val="18"/>
              </w:rPr>
              <w:t>0,6042</w:t>
            </w:r>
          </w:p>
        </w:tc>
        <w:tc>
          <w:tcPr>
            <w:tcW w:w="1008" w:type="dxa"/>
            <w:vAlign w:val="center"/>
          </w:tcPr>
          <w:p w14:paraId="4C017F3D">
            <w:pPr>
              <w:spacing w:after="0" w:line="240" w:lineRule="auto"/>
            </w:pPr>
            <w:r>
              <w:rPr>
                <w:rFonts w:ascii="Arial" w:hAnsi="Arial"/>
                <w:b w:val="0"/>
                <w:sz w:val="18"/>
              </w:rPr>
              <w:t>0,5598</w:t>
            </w:r>
          </w:p>
        </w:tc>
        <w:tc>
          <w:tcPr>
            <w:tcW w:w="1008" w:type="dxa"/>
            <w:vAlign w:val="center"/>
          </w:tcPr>
          <w:p w14:paraId="32241408">
            <w:pPr>
              <w:spacing w:after="0" w:line="240" w:lineRule="auto"/>
            </w:pPr>
            <w:r>
              <w:rPr>
                <w:rFonts w:ascii="Arial" w:hAnsi="Arial"/>
                <w:b w:val="0"/>
                <w:sz w:val="18"/>
              </w:rPr>
              <w:t>0,5766</w:t>
            </w:r>
          </w:p>
        </w:tc>
      </w:tr>
      <w:tr w14:paraId="615A5479">
        <w:trPr>
          <w:jc w:val="center"/>
        </w:trPr>
        <w:tc>
          <w:tcPr>
            <w:tcW w:w="936" w:type="dxa"/>
            <w:vAlign w:val="center"/>
          </w:tcPr>
          <w:p w14:paraId="50B58098">
            <w:pPr>
              <w:spacing w:after="0" w:line="240" w:lineRule="auto"/>
            </w:pPr>
            <w:r>
              <w:rPr>
                <w:rFonts w:ascii="Arial" w:hAnsi="Arial"/>
                <w:b w:val="0"/>
                <w:sz w:val="18"/>
              </w:rPr>
              <w:t>612</w:t>
            </w:r>
          </w:p>
        </w:tc>
        <w:tc>
          <w:tcPr>
            <w:tcW w:w="864" w:type="dxa"/>
            <w:vAlign w:val="center"/>
          </w:tcPr>
          <w:p w14:paraId="0DA0E04E">
            <w:pPr>
              <w:spacing w:after="0" w:line="240" w:lineRule="auto"/>
            </w:pPr>
            <w:r>
              <w:rPr>
                <w:rFonts w:ascii="Arial" w:hAnsi="Arial"/>
                <w:b w:val="0"/>
                <w:sz w:val="18"/>
              </w:rPr>
              <w:t>7</w:t>
            </w:r>
          </w:p>
        </w:tc>
        <w:tc>
          <w:tcPr>
            <w:tcW w:w="1800" w:type="dxa"/>
            <w:vAlign w:val="center"/>
          </w:tcPr>
          <w:p w14:paraId="3EA4FE13">
            <w:pPr>
              <w:spacing w:after="0" w:line="240" w:lineRule="auto"/>
            </w:pPr>
            <w:r>
              <w:rPr>
                <w:rFonts w:ascii="Arial" w:hAnsi="Arial"/>
                <w:b w:val="0"/>
                <w:sz w:val="18"/>
              </w:rPr>
              <w:t>0,0957</w:t>
            </w:r>
          </w:p>
        </w:tc>
        <w:tc>
          <w:tcPr>
            <w:tcW w:w="1944" w:type="dxa"/>
            <w:vAlign w:val="center"/>
          </w:tcPr>
          <w:p w14:paraId="0B0ECCF6">
            <w:pPr>
              <w:spacing w:after="0" w:line="240" w:lineRule="auto"/>
            </w:pPr>
            <w:r>
              <w:rPr>
                <w:rFonts w:ascii="Arial" w:hAnsi="Arial"/>
                <w:b w:val="0"/>
                <w:sz w:val="18"/>
              </w:rPr>
              <w:t>0,5707</w:t>
            </w:r>
          </w:p>
        </w:tc>
        <w:tc>
          <w:tcPr>
            <w:tcW w:w="1008" w:type="dxa"/>
            <w:vAlign w:val="center"/>
          </w:tcPr>
          <w:p w14:paraId="1F79611D">
            <w:pPr>
              <w:spacing w:after="0" w:line="240" w:lineRule="auto"/>
            </w:pPr>
            <w:r>
              <w:rPr>
                <w:rFonts w:ascii="Arial" w:hAnsi="Arial"/>
                <w:b w:val="0"/>
                <w:sz w:val="18"/>
              </w:rPr>
              <w:t>0,4751</w:t>
            </w:r>
          </w:p>
        </w:tc>
        <w:tc>
          <w:tcPr>
            <w:tcW w:w="1008" w:type="dxa"/>
            <w:vAlign w:val="center"/>
          </w:tcPr>
          <w:p w14:paraId="4708C4F4">
            <w:pPr>
              <w:spacing w:after="0" w:line="240" w:lineRule="auto"/>
            </w:pPr>
            <w:r>
              <w:rPr>
                <w:rFonts w:ascii="Arial" w:hAnsi="Arial"/>
                <w:b w:val="0"/>
                <w:sz w:val="18"/>
              </w:rPr>
              <w:t>0,5068</w:t>
            </w:r>
          </w:p>
        </w:tc>
      </w:tr>
      <w:tr w14:paraId="3619EB0D">
        <w:trPr>
          <w:jc w:val="center"/>
        </w:trPr>
        <w:tc>
          <w:tcPr>
            <w:tcW w:w="936" w:type="dxa"/>
            <w:vAlign w:val="center"/>
          </w:tcPr>
          <w:p w14:paraId="7FB98A1D">
            <w:pPr>
              <w:spacing w:after="0" w:line="240" w:lineRule="auto"/>
            </w:pPr>
            <w:r>
              <w:rPr>
                <w:rFonts w:ascii="Arial" w:hAnsi="Arial"/>
                <w:b w:val="0"/>
                <w:sz w:val="18"/>
              </w:rPr>
              <w:t>287</w:t>
            </w:r>
          </w:p>
        </w:tc>
        <w:tc>
          <w:tcPr>
            <w:tcW w:w="864" w:type="dxa"/>
            <w:vAlign w:val="center"/>
          </w:tcPr>
          <w:p w14:paraId="346AB398">
            <w:pPr>
              <w:spacing w:after="0" w:line="240" w:lineRule="auto"/>
            </w:pPr>
            <w:r>
              <w:rPr>
                <w:rFonts w:ascii="Arial" w:hAnsi="Arial"/>
                <w:b w:val="0"/>
                <w:sz w:val="18"/>
              </w:rPr>
              <w:t>7</w:t>
            </w:r>
          </w:p>
        </w:tc>
        <w:tc>
          <w:tcPr>
            <w:tcW w:w="1800" w:type="dxa"/>
            <w:vAlign w:val="center"/>
          </w:tcPr>
          <w:p w14:paraId="598F1FFC">
            <w:pPr>
              <w:spacing w:after="0" w:line="240" w:lineRule="auto"/>
            </w:pPr>
            <w:r>
              <w:rPr>
                <w:rFonts w:ascii="Arial" w:hAnsi="Arial"/>
                <w:b w:val="0"/>
                <w:sz w:val="18"/>
              </w:rPr>
              <w:t>0,7918</w:t>
            </w:r>
          </w:p>
        </w:tc>
        <w:tc>
          <w:tcPr>
            <w:tcW w:w="1944" w:type="dxa"/>
            <w:vAlign w:val="center"/>
          </w:tcPr>
          <w:p w14:paraId="386E0E41">
            <w:pPr>
              <w:spacing w:after="0" w:line="240" w:lineRule="auto"/>
            </w:pPr>
            <w:r>
              <w:rPr>
                <w:rFonts w:ascii="Arial" w:hAnsi="Arial"/>
                <w:b w:val="0"/>
                <w:sz w:val="18"/>
              </w:rPr>
              <w:t>0,3988</w:t>
            </w:r>
          </w:p>
        </w:tc>
        <w:tc>
          <w:tcPr>
            <w:tcW w:w="1008" w:type="dxa"/>
            <w:vAlign w:val="center"/>
          </w:tcPr>
          <w:p w14:paraId="544B69DA">
            <w:pPr>
              <w:spacing w:after="0" w:line="240" w:lineRule="auto"/>
            </w:pPr>
            <w:r>
              <w:rPr>
                <w:rFonts w:ascii="Arial" w:hAnsi="Arial"/>
                <w:b w:val="0"/>
                <w:sz w:val="18"/>
              </w:rPr>
              <w:t>0,4017</w:t>
            </w:r>
          </w:p>
        </w:tc>
        <w:tc>
          <w:tcPr>
            <w:tcW w:w="1008" w:type="dxa"/>
            <w:vAlign w:val="center"/>
          </w:tcPr>
          <w:p w14:paraId="7F5B6111">
            <w:pPr>
              <w:spacing w:after="0" w:line="240" w:lineRule="auto"/>
            </w:pPr>
            <w:r>
              <w:rPr>
                <w:rFonts w:ascii="Arial" w:hAnsi="Arial"/>
                <w:b w:val="0"/>
                <w:sz w:val="18"/>
              </w:rPr>
              <w:t>0,4301</w:t>
            </w:r>
          </w:p>
        </w:tc>
      </w:tr>
      <w:tr w14:paraId="4C8C2768">
        <w:trPr>
          <w:jc w:val="center"/>
        </w:trPr>
        <w:tc>
          <w:tcPr>
            <w:tcW w:w="936" w:type="dxa"/>
            <w:vAlign w:val="center"/>
          </w:tcPr>
          <w:p w14:paraId="2936CE58">
            <w:pPr>
              <w:spacing w:after="0" w:line="240" w:lineRule="auto"/>
            </w:pPr>
            <w:r>
              <w:rPr>
                <w:rFonts w:ascii="Arial" w:hAnsi="Arial"/>
                <w:b w:val="0"/>
                <w:sz w:val="18"/>
              </w:rPr>
              <w:t>350</w:t>
            </w:r>
          </w:p>
        </w:tc>
        <w:tc>
          <w:tcPr>
            <w:tcW w:w="864" w:type="dxa"/>
            <w:vAlign w:val="center"/>
          </w:tcPr>
          <w:p w14:paraId="6295E910">
            <w:pPr>
              <w:spacing w:after="0" w:line="240" w:lineRule="auto"/>
            </w:pPr>
            <w:r>
              <w:rPr>
                <w:rFonts w:ascii="Arial" w:hAnsi="Arial"/>
                <w:b w:val="0"/>
                <w:sz w:val="18"/>
              </w:rPr>
              <w:t>10</w:t>
            </w:r>
          </w:p>
        </w:tc>
        <w:tc>
          <w:tcPr>
            <w:tcW w:w="1800" w:type="dxa"/>
            <w:vAlign w:val="center"/>
          </w:tcPr>
          <w:p w14:paraId="07A37518">
            <w:pPr>
              <w:spacing w:after="0" w:line="240" w:lineRule="auto"/>
            </w:pPr>
            <w:r>
              <w:rPr>
                <w:rFonts w:ascii="Arial" w:hAnsi="Arial"/>
                <w:b w:val="0"/>
                <w:sz w:val="18"/>
              </w:rPr>
              <w:t>0,0216</w:t>
            </w:r>
          </w:p>
        </w:tc>
        <w:tc>
          <w:tcPr>
            <w:tcW w:w="1944" w:type="dxa"/>
            <w:vAlign w:val="center"/>
          </w:tcPr>
          <w:p w14:paraId="7D61FE0D">
            <w:pPr>
              <w:spacing w:after="0" w:line="240" w:lineRule="auto"/>
            </w:pPr>
            <w:r>
              <w:rPr>
                <w:rFonts w:ascii="Arial" w:hAnsi="Arial"/>
                <w:b w:val="0"/>
                <w:sz w:val="18"/>
              </w:rPr>
              <w:t>0,3994</w:t>
            </w:r>
          </w:p>
        </w:tc>
        <w:tc>
          <w:tcPr>
            <w:tcW w:w="1008" w:type="dxa"/>
            <w:vAlign w:val="center"/>
          </w:tcPr>
          <w:p w14:paraId="32FD35F6">
            <w:pPr>
              <w:spacing w:after="0" w:line="240" w:lineRule="auto"/>
            </w:pPr>
            <w:r>
              <w:rPr>
                <w:rFonts w:ascii="Arial" w:hAnsi="Arial"/>
                <w:b w:val="0"/>
                <w:sz w:val="18"/>
              </w:rPr>
              <w:t>0,3811</w:t>
            </w:r>
          </w:p>
        </w:tc>
        <w:tc>
          <w:tcPr>
            <w:tcW w:w="1008" w:type="dxa"/>
            <w:vAlign w:val="center"/>
          </w:tcPr>
          <w:p w14:paraId="22E060CE">
            <w:pPr>
              <w:spacing w:after="0" w:line="240" w:lineRule="auto"/>
            </w:pPr>
            <w:r>
              <w:rPr>
                <w:rFonts w:ascii="Arial" w:hAnsi="Arial"/>
                <w:b w:val="0"/>
                <w:sz w:val="18"/>
              </w:rPr>
              <w:t>0,4018</w:t>
            </w:r>
          </w:p>
        </w:tc>
      </w:tr>
    </w:tbl>
    <w:p w14:paraId="1588527A"/>
    <w:p w14:paraId="0A429BA9">
      <w:r>
        <w:t>В сохранённых результатах серии 71 и 73 выделяются сильным завышением предсказанного растворения при низких фактических значениях. Это указывает на область, где модель ошибается особенно заметно, но само по себе не устанавливает причину ошибки.</w:t>
      </w:r>
    </w:p>
    <w:p w14:paraId="01DA43D4">
      <w:r>
        <w:t>Для серии 72 код дополнительно выводит фактические и предсказанные значения на обучающей выборке. Эти предсказания являются внутривыборочными, поскольку серия 72 участвовала в обучении; их нельзя трактовать как независимую тестовую проверку.</w:t>
      </w:r>
    </w:p>
    <w:p w14:paraId="15E12311">
      <w:pPr>
        <w:pStyle w:val="2"/>
      </w:pPr>
      <w:r>
        <w:t>8. Дополнительный анализ экспериментальных серий</w:t>
      </w:r>
    </w:p>
    <w:p w14:paraId="492DC4C4">
      <w:pPr>
        <w:pStyle w:val="3"/>
      </w:pPr>
      <w:r>
        <w:t>8.1. Сравнение серий 71–74</w:t>
      </w:r>
    </w:p>
    <w:p w14:paraId="52566B3E">
      <w:r>
        <w:t xml:space="preserve">Код отбирает серии 71–74 и группирует данные по Experimental_index и Drug_Group. Для числовых столбцов pH, wDrug, wExci1, Particle_size, Preparation_T, Equivalent_dosage и Dissolution рассчитываются средние значения; категориальные значения сохраняются как первое значение. Затем для каждой серии добавляется метка Train или Test. В этой таблице Dissolution </w:t>
      </w:r>
      <w:r>
        <w:rPr>
          <w:lang w:val="ru-RU"/>
        </w:rPr>
        <w:t>–</w:t>
      </w:r>
      <w:r>
        <w:t xml:space="preserve"> среднее, а не максимум и не диапазон значений.</w:t>
      </w:r>
    </w:p>
    <w:p w14:paraId="2A40F615">
      <w:pPr>
        <w:pStyle w:val="3"/>
      </w:pPr>
      <w:r>
        <w:t>8.2. Сравнение характеристик серий 71–76</w:t>
      </w:r>
    </w:p>
    <w:p w14:paraId="52F52A25">
      <w:r>
        <w:t>Для серий 71–76 код выводит исходные строки с доступными характеристиками препарата, эксципиентов, условий приготовления и Dissolution, а также принадлежность к Train/Test. Это не сводная таблица с одной строкой на серию: в ней могут повторяться Experimental_index, поскольку выводятся отдельные экспериментальные наблюдения.</w:t>
      </w:r>
    </w:p>
    <w:p w14:paraId="4B3EFCE2">
      <w:pPr>
        <w:pStyle w:val="3"/>
      </w:pPr>
      <w:r>
        <w:t>8.3. Поиск аналогов для серий 71–73</w:t>
      </w:r>
    </w:p>
    <w:p w14:paraId="4E440294">
      <w:r>
        <w:t>Для каждой из серий 71, 72 и 73 скрипт находит другие экспериментальные серии с тем же значением Drug_Group, которые входят в обучающую выборку, исключая саму целевую серию. Результат содержит найденные строки с доступными параметрами и Dissolution. Это поиск по совпадению Drug_Group, а не автоматический поиск по близости всех физико-химических признаков.</w:t>
      </w:r>
    </w:p>
    <w:p w14:paraId="16549162">
      <w:pPr>
        <w:pStyle w:val="3"/>
      </w:pPr>
      <w:r>
        <w:t>8.4. Анализ итраконазола</w:t>
      </w:r>
    </w:p>
    <w:p w14:paraId="6CC2F840">
      <w:r>
        <w:t>Скрипт отбирает строки, где Drug_Group содержит строку «itraconazole» без учёта регистра. Сначала выводятся отдельные наблюдения, затем формируется сводка по Experimental_index, Drug_Group и Dataset. Для выбранных числовых параметров, включая Dissolution, вычисляется среднее значение. Следовательно, сводка не представляет максимальное растворение серии.</w:t>
      </w:r>
    </w:p>
    <w:p w14:paraId="17506851">
      <w:r>
        <w:t xml:space="preserve">В ранее сохранённом выводе для серий 71–76 наблюдалась следующая картина: серии 71–73 относились к условиям pH 1,2 и имели низкие максимальные значения Dissolution в исходных наблюдениях (для серии 71 </w:t>
      </w:r>
      <w:r>
        <w:rPr>
          <w:lang w:val="ru-RU"/>
        </w:rPr>
        <w:t>–</w:t>
      </w:r>
      <w:r>
        <w:t xml:space="preserve"> около 0,0241; 72 </w:t>
      </w:r>
      <w:r>
        <w:rPr>
          <w:lang w:val="ru-RU"/>
        </w:rPr>
        <w:t>–</w:t>
      </w:r>
      <w:r>
        <w:t xml:space="preserve"> 0,0401; 73 </w:t>
      </w:r>
      <w:r>
        <w:rPr>
          <w:lang w:val="ru-RU"/>
        </w:rPr>
        <w:t>–</w:t>
      </w:r>
      <w:r>
        <w:t xml:space="preserve"> 0,0688), тогда как серии 74–76 при pH 6,8 имели существенно более высокие значения (около 0,9089; 0,9345; 0,9507). Эти максимумы относятся к ранее просмотренным исходным строкам и не вычисляются сводными таблицами 8.1 и 8.4 текущего кода. Их следует использовать как отдельное наблюдение, а не как поле, рассчитанное данными блоками.</w:t>
      </w:r>
    </w:p>
    <w:p w14:paraId="711316DF">
      <w:pPr>
        <w:pStyle w:val="2"/>
      </w:pPr>
      <w:r>
        <w:t>9. Ошибки в зависимости от pH</w:t>
      </w:r>
    </w:p>
    <w:p w14:paraId="26D04073">
      <w:r>
        <w:t>В блоке 9 анализируются только наблюдения тестовой выборки. Значение pH преобразуется в числовой формат; строки с нечисловым или отсутствующим pH исключаются из этого анализа. Для каждого значения pH рассчитываются число наблюдений, MAE, RMSE, среднее фактическое и среднее предсказанное растворение.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152"/>
        <w:gridCol w:w="1944"/>
        <w:gridCol w:w="1944"/>
        <w:gridCol w:w="1008"/>
      </w:tblGrid>
      <w:tr w14:paraId="36FE5686">
        <w:trPr>
          <w:jc w:val="center"/>
        </w:trPr>
        <w:tc>
          <w:tcPr>
            <w:tcW w:w="936" w:type="dxa"/>
            <w:shd w:val="clear" w:color="auto" w:fill="D9EAF7"/>
            <w:vAlign w:val="center"/>
          </w:tcPr>
          <w:p w14:paraId="6E3A8253">
            <w:pPr>
              <w:spacing w:after="0" w:line="240" w:lineRule="auto"/>
            </w:pPr>
            <w:r>
              <w:rPr>
                <w:rFonts w:ascii="Arial" w:hAnsi="Arial"/>
                <w:b/>
                <w:sz w:val="18"/>
              </w:rPr>
              <w:t>pH</w:t>
            </w:r>
          </w:p>
        </w:tc>
        <w:tc>
          <w:tcPr>
            <w:tcW w:w="1152" w:type="dxa"/>
            <w:shd w:val="clear" w:color="auto" w:fill="D9EAF7"/>
            <w:vAlign w:val="center"/>
          </w:tcPr>
          <w:p w14:paraId="613C260D">
            <w:pPr>
              <w:spacing w:after="0" w:line="240" w:lineRule="auto"/>
            </w:pPr>
            <w:r>
              <w:rPr>
                <w:rFonts w:ascii="Arial" w:hAnsi="Arial"/>
                <w:b/>
                <w:sz w:val="18"/>
              </w:rPr>
              <w:t>Число точек</w:t>
            </w:r>
          </w:p>
        </w:tc>
        <w:tc>
          <w:tcPr>
            <w:tcW w:w="1944" w:type="dxa"/>
            <w:shd w:val="clear" w:color="auto" w:fill="D9EAF7"/>
            <w:vAlign w:val="center"/>
          </w:tcPr>
          <w:p w14:paraId="085C0356">
            <w:pPr>
              <w:spacing w:after="0" w:line="240" w:lineRule="auto"/>
            </w:pPr>
            <w:r>
              <w:rPr>
                <w:rFonts w:ascii="Arial" w:hAnsi="Arial"/>
                <w:b/>
                <w:sz w:val="18"/>
              </w:rPr>
              <w:t>Среднее фактическое</w:t>
            </w:r>
          </w:p>
        </w:tc>
        <w:tc>
          <w:tcPr>
            <w:tcW w:w="1944" w:type="dxa"/>
            <w:shd w:val="clear" w:color="auto" w:fill="D9EAF7"/>
            <w:vAlign w:val="center"/>
          </w:tcPr>
          <w:p w14:paraId="0988953C">
            <w:pPr>
              <w:spacing w:after="0" w:line="240" w:lineRule="auto"/>
            </w:pPr>
            <w:r>
              <w:rPr>
                <w:rFonts w:ascii="Arial" w:hAnsi="Arial"/>
                <w:b/>
                <w:sz w:val="18"/>
              </w:rPr>
              <w:t>Среднее предсказанное</w:t>
            </w:r>
          </w:p>
        </w:tc>
        <w:tc>
          <w:tcPr>
            <w:tcW w:w="1008" w:type="dxa"/>
            <w:shd w:val="clear" w:color="auto" w:fill="D9EAF7"/>
            <w:vAlign w:val="center"/>
          </w:tcPr>
          <w:p w14:paraId="4442F39C">
            <w:pPr>
              <w:spacing w:after="0" w:line="240" w:lineRule="auto"/>
            </w:pPr>
            <w:r>
              <w:rPr>
                <w:rFonts w:ascii="Arial" w:hAnsi="Arial"/>
                <w:b/>
                <w:sz w:val="18"/>
              </w:rPr>
              <w:t>MAE</w:t>
            </w:r>
          </w:p>
        </w:tc>
      </w:tr>
      <w:tr w14:paraId="1081FBC9">
        <w:trPr>
          <w:jc w:val="center"/>
        </w:trPr>
        <w:tc>
          <w:tcPr>
            <w:tcW w:w="936" w:type="dxa"/>
            <w:vAlign w:val="center"/>
          </w:tcPr>
          <w:p w14:paraId="67395C00">
            <w:pPr>
              <w:spacing w:after="0" w:line="240" w:lineRule="auto"/>
            </w:pPr>
            <w:r>
              <w:rPr>
                <w:rFonts w:ascii="Arial" w:hAnsi="Arial"/>
                <w:b w:val="0"/>
                <w:sz w:val="18"/>
              </w:rPr>
              <w:t>1,0</w:t>
            </w:r>
          </w:p>
        </w:tc>
        <w:tc>
          <w:tcPr>
            <w:tcW w:w="1152" w:type="dxa"/>
            <w:vAlign w:val="center"/>
          </w:tcPr>
          <w:p w14:paraId="16CBD67A">
            <w:pPr>
              <w:spacing w:after="0" w:line="240" w:lineRule="auto"/>
            </w:pPr>
            <w:r>
              <w:rPr>
                <w:rFonts w:ascii="Arial" w:hAnsi="Arial"/>
                <w:b w:val="0"/>
                <w:sz w:val="18"/>
              </w:rPr>
              <w:t>22</w:t>
            </w:r>
          </w:p>
        </w:tc>
        <w:tc>
          <w:tcPr>
            <w:tcW w:w="1944" w:type="dxa"/>
            <w:vAlign w:val="center"/>
          </w:tcPr>
          <w:p w14:paraId="03E32AA7">
            <w:pPr>
              <w:spacing w:after="0" w:line="240" w:lineRule="auto"/>
            </w:pPr>
            <w:r>
              <w:rPr>
                <w:rFonts w:ascii="Arial" w:hAnsi="Arial"/>
                <w:b w:val="0"/>
                <w:sz w:val="18"/>
              </w:rPr>
              <w:t>0,6746</w:t>
            </w:r>
          </w:p>
        </w:tc>
        <w:tc>
          <w:tcPr>
            <w:tcW w:w="1944" w:type="dxa"/>
            <w:vAlign w:val="center"/>
          </w:tcPr>
          <w:p w14:paraId="514A2935">
            <w:pPr>
              <w:spacing w:after="0" w:line="240" w:lineRule="auto"/>
            </w:pPr>
            <w:r>
              <w:rPr>
                <w:rFonts w:ascii="Arial" w:hAnsi="Arial"/>
                <w:b w:val="0"/>
                <w:sz w:val="18"/>
              </w:rPr>
              <w:t>0,5351</w:t>
            </w:r>
          </w:p>
        </w:tc>
        <w:tc>
          <w:tcPr>
            <w:tcW w:w="1008" w:type="dxa"/>
            <w:vAlign w:val="center"/>
          </w:tcPr>
          <w:p w14:paraId="0F5FBC78">
            <w:pPr>
              <w:spacing w:after="0" w:line="240" w:lineRule="auto"/>
            </w:pPr>
            <w:r>
              <w:rPr>
                <w:rFonts w:ascii="Arial" w:hAnsi="Arial"/>
                <w:b w:val="0"/>
                <w:sz w:val="18"/>
              </w:rPr>
              <w:t>0,1633</w:t>
            </w:r>
          </w:p>
        </w:tc>
      </w:tr>
      <w:tr w14:paraId="32472CE0">
        <w:trPr>
          <w:jc w:val="center"/>
        </w:trPr>
        <w:tc>
          <w:tcPr>
            <w:tcW w:w="936" w:type="dxa"/>
            <w:vAlign w:val="center"/>
          </w:tcPr>
          <w:p w14:paraId="5E6DF220">
            <w:pPr>
              <w:spacing w:after="0" w:line="240" w:lineRule="auto"/>
            </w:pPr>
            <w:r>
              <w:rPr>
                <w:rFonts w:ascii="Arial" w:hAnsi="Arial"/>
                <w:b w:val="0"/>
                <w:sz w:val="18"/>
              </w:rPr>
              <w:t>1,2</w:t>
            </w:r>
          </w:p>
        </w:tc>
        <w:tc>
          <w:tcPr>
            <w:tcW w:w="1152" w:type="dxa"/>
            <w:vAlign w:val="center"/>
          </w:tcPr>
          <w:p w14:paraId="52C1BF3B">
            <w:pPr>
              <w:spacing w:after="0" w:line="240" w:lineRule="auto"/>
            </w:pPr>
            <w:r>
              <w:rPr>
                <w:rFonts w:ascii="Arial" w:hAnsi="Arial"/>
                <w:b w:val="0"/>
                <w:sz w:val="18"/>
              </w:rPr>
              <w:t>263</w:t>
            </w:r>
          </w:p>
        </w:tc>
        <w:tc>
          <w:tcPr>
            <w:tcW w:w="1944" w:type="dxa"/>
            <w:vAlign w:val="center"/>
          </w:tcPr>
          <w:p w14:paraId="4743BB11">
            <w:pPr>
              <w:spacing w:after="0" w:line="240" w:lineRule="auto"/>
            </w:pPr>
            <w:r>
              <w:rPr>
                <w:rFonts w:ascii="Arial" w:hAnsi="Arial"/>
                <w:b w:val="0"/>
                <w:sz w:val="18"/>
              </w:rPr>
              <w:t>0,4700</w:t>
            </w:r>
          </w:p>
        </w:tc>
        <w:tc>
          <w:tcPr>
            <w:tcW w:w="1944" w:type="dxa"/>
            <w:vAlign w:val="center"/>
          </w:tcPr>
          <w:p w14:paraId="523E3F44">
            <w:pPr>
              <w:spacing w:after="0" w:line="240" w:lineRule="auto"/>
            </w:pPr>
            <w:r>
              <w:rPr>
                <w:rFonts w:ascii="Arial" w:hAnsi="Arial"/>
                <w:b w:val="0"/>
                <w:sz w:val="18"/>
              </w:rPr>
              <w:t>0,5169</w:t>
            </w:r>
          </w:p>
        </w:tc>
        <w:tc>
          <w:tcPr>
            <w:tcW w:w="1008" w:type="dxa"/>
            <w:vAlign w:val="center"/>
          </w:tcPr>
          <w:p w14:paraId="1731A8DE">
            <w:pPr>
              <w:spacing w:after="0" w:line="240" w:lineRule="auto"/>
            </w:pPr>
            <w:r>
              <w:rPr>
                <w:rFonts w:ascii="Arial" w:hAnsi="Arial"/>
                <w:b w:val="0"/>
                <w:sz w:val="18"/>
              </w:rPr>
              <w:t>0,2199</w:t>
            </w:r>
          </w:p>
        </w:tc>
      </w:tr>
      <w:tr w14:paraId="3730FF18">
        <w:trPr>
          <w:jc w:val="center"/>
        </w:trPr>
        <w:tc>
          <w:tcPr>
            <w:tcW w:w="936" w:type="dxa"/>
            <w:vAlign w:val="center"/>
          </w:tcPr>
          <w:p w14:paraId="7A8C1BEC">
            <w:pPr>
              <w:spacing w:after="0" w:line="240" w:lineRule="auto"/>
            </w:pPr>
            <w:r>
              <w:rPr>
                <w:rFonts w:ascii="Arial" w:hAnsi="Arial"/>
                <w:b w:val="0"/>
                <w:sz w:val="18"/>
              </w:rPr>
              <w:t>1,3</w:t>
            </w:r>
          </w:p>
        </w:tc>
        <w:tc>
          <w:tcPr>
            <w:tcW w:w="1152" w:type="dxa"/>
            <w:vAlign w:val="center"/>
          </w:tcPr>
          <w:p w14:paraId="570A6698">
            <w:pPr>
              <w:spacing w:after="0" w:line="240" w:lineRule="auto"/>
            </w:pPr>
            <w:r>
              <w:rPr>
                <w:rFonts w:ascii="Arial" w:hAnsi="Arial"/>
                <w:b w:val="0"/>
                <w:sz w:val="18"/>
              </w:rPr>
              <w:t>28</w:t>
            </w:r>
          </w:p>
        </w:tc>
        <w:tc>
          <w:tcPr>
            <w:tcW w:w="1944" w:type="dxa"/>
            <w:vAlign w:val="center"/>
          </w:tcPr>
          <w:p w14:paraId="2EC7A071">
            <w:pPr>
              <w:spacing w:after="0" w:line="240" w:lineRule="auto"/>
            </w:pPr>
            <w:r>
              <w:rPr>
                <w:rFonts w:ascii="Arial" w:hAnsi="Arial"/>
                <w:b w:val="0"/>
                <w:sz w:val="18"/>
              </w:rPr>
              <w:t>0,0898</w:t>
            </w:r>
          </w:p>
        </w:tc>
        <w:tc>
          <w:tcPr>
            <w:tcW w:w="1944" w:type="dxa"/>
            <w:vAlign w:val="center"/>
          </w:tcPr>
          <w:p w14:paraId="19B516D3">
            <w:pPr>
              <w:spacing w:after="0" w:line="240" w:lineRule="auto"/>
            </w:pPr>
            <w:r>
              <w:rPr>
                <w:rFonts w:ascii="Arial" w:hAnsi="Arial"/>
                <w:b w:val="0"/>
                <w:sz w:val="18"/>
              </w:rPr>
              <w:t>0,3875</w:t>
            </w:r>
          </w:p>
        </w:tc>
        <w:tc>
          <w:tcPr>
            <w:tcW w:w="1008" w:type="dxa"/>
            <w:vAlign w:val="center"/>
          </w:tcPr>
          <w:p w14:paraId="1A14AC47">
            <w:pPr>
              <w:spacing w:after="0" w:line="240" w:lineRule="auto"/>
            </w:pPr>
            <w:r>
              <w:rPr>
                <w:rFonts w:ascii="Arial" w:hAnsi="Arial"/>
                <w:b w:val="0"/>
                <w:sz w:val="18"/>
              </w:rPr>
              <w:t>0,3126</w:t>
            </w:r>
          </w:p>
        </w:tc>
      </w:tr>
      <w:tr w14:paraId="4F5B79A9">
        <w:trPr>
          <w:jc w:val="center"/>
        </w:trPr>
        <w:tc>
          <w:tcPr>
            <w:tcW w:w="936" w:type="dxa"/>
            <w:vAlign w:val="center"/>
          </w:tcPr>
          <w:p w14:paraId="1584A86D">
            <w:pPr>
              <w:spacing w:after="0" w:line="240" w:lineRule="auto"/>
            </w:pPr>
            <w:r>
              <w:rPr>
                <w:rFonts w:ascii="Arial" w:hAnsi="Arial"/>
                <w:b w:val="0"/>
                <w:sz w:val="18"/>
              </w:rPr>
              <w:t>4,0</w:t>
            </w:r>
          </w:p>
        </w:tc>
        <w:tc>
          <w:tcPr>
            <w:tcW w:w="1152" w:type="dxa"/>
            <w:vAlign w:val="center"/>
          </w:tcPr>
          <w:p w14:paraId="237CC12E">
            <w:pPr>
              <w:spacing w:after="0" w:line="240" w:lineRule="auto"/>
            </w:pPr>
            <w:r>
              <w:rPr>
                <w:rFonts w:ascii="Arial" w:hAnsi="Arial"/>
                <w:b w:val="0"/>
                <w:sz w:val="18"/>
              </w:rPr>
              <w:t>30</w:t>
            </w:r>
          </w:p>
        </w:tc>
        <w:tc>
          <w:tcPr>
            <w:tcW w:w="1944" w:type="dxa"/>
            <w:vAlign w:val="center"/>
          </w:tcPr>
          <w:p w14:paraId="5E7785E1">
            <w:pPr>
              <w:spacing w:after="0" w:line="240" w:lineRule="auto"/>
            </w:pPr>
            <w:r>
              <w:rPr>
                <w:rFonts w:ascii="Arial" w:hAnsi="Arial"/>
                <w:b w:val="0"/>
                <w:sz w:val="18"/>
              </w:rPr>
              <w:t>0,0105</w:t>
            </w:r>
          </w:p>
        </w:tc>
        <w:tc>
          <w:tcPr>
            <w:tcW w:w="1944" w:type="dxa"/>
            <w:vAlign w:val="center"/>
          </w:tcPr>
          <w:p w14:paraId="30249DA4">
            <w:pPr>
              <w:spacing w:after="0" w:line="240" w:lineRule="auto"/>
            </w:pPr>
            <w:r>
              <w:rPr>
                <w:rFonts w:ascii="Arial" w:hAnsi="Arial"/>
                <w:b w:val="0"/>
                <w:sz w:val="18"/>
              </w:rPr>
              <w:t>0,2465</w:t>
            </w:r>
          </w:p>
        </w:tc>
        <w:tc>
          <w:tcPr>
            <w:tcW w:w="1008" w:type="dxa"/>
            <w:vAlign w:val="center"/>
          </w:tcPr>
          <w:p w14:paraId="05381B00">
            <w:pPr>
              <w:spacing w:after="0" w:line="240" w:lineRule="auto"/>
            </w:pPr>
            <w:r>
              <w:rPr>
                <w:rFonts w:ascii="Arial" w:hAnsi="Arial"/>
                <w:b w:val="0"/>
                <w:sz w:val="18"/>
              </w:rPr>
              <w:t>0,2460</w:t>
            </w:r>
          </w:p>
        </w:tc>
      </w:tr>
      <w:tr w14:paraId="5D8CE9AC">
        <w:trPr>
          <w:jc w:val="center"/>
        </w:trPr>
        <w:tc>
          <w:tcPr>
            <w:tcW w:w="936" w:type="dxa"/>
            <w:vAlign w:val="center"/>
          </w:tcPr>
          <w:p w14:paraId="082FE7C7">
            <w:pPr>
              <w:spacing w:after="0" w:line="240" w:lineRule="auto"/>
            </w:pPr>
            <w:r>
              <w:rPr>
                <w:rFonts w:ascii="Arial" w:hAnsi="Arial"/>
                <w:b w:val="0"/>
                <w:sz w:val="18"/>
              </w:rPr>
              <w:t>4,5</w:t>
            </w:r>
          </w:p>
        </w:tc>
        <w:tc>
          <w:tcPr>
            <w:tcW w:w="1152" w:type="dxa"/>
            <w:vAlign w:val="center"/>
          </w:tcPr>
          <w:p w14:paraId="4CFDB124">
            <w:pPr>
              <w:spacing w:after="0" w:line="240" w:lineRule="auto"/>
            </w:pPr>
            <w:r>
              <w:rPr>
                <w:rFonts w:ascii="Arial" w:hAnsi="Arial"/>
                <w:b w:val="0"/>
                <w:sz w:val="18"/>
              </w:rPr>
              <w:t>31</w:t>
            </w:r>
          </w:p>
        </w:tc>
        <w:tc>
          <w:tcPr>
            <w:tcW w:w="1944" w:type="dxa"/>
            <w:vAlign w:val="center"/>
          </w:tcPr>
          <w:p w14:paraId="4D213A74">
            <w:pPr>
              <w:spacing w:after="0" w:line="240" w:lineRule="auto"/>
            </w:pPr>
            <w:r>
              <w:rPr>
                <w:rFonts w:ascii="Arial" w:hAnsi="Arial"/>
                <w:b w:val="0"/>
                <w:sz w:val="18"/>
              </w:rPr>
              <w:t>0,5219</w:t>
            </w:r>
          </w:p>
        </w:tc>
        <w:tc>
          <w:tcPr>
            <w:tcW w:w="1944" w:type="dxa"/>
            <w:vAlign w:val="center"/>
          </w:tcPr>
          <w:p w14:paraId="39877575">
            <w:pPr>
              <w:spacing w:after="0" w:line="240" w:lineRule="auto"/>
            </w:pPr>
            <w:r>
              <w:rPr>
                <w:rFonts w:ascii="Arial" w:hAnsi="Arial"/>
                <w:b w:val="0"/>
                <w:sz w:val="18"/>
              </w:rPr>
              <w:t>0,4506</w:t>
            </w:r>
          </w:p>
        </w:tc>
        <w:tc>
          <w:tcPr>
            <w:tcW w:w="1008" w:type="dxa"/>
            <w:vAlign w:val="center"/>
          </w:tcPr>
          <w:p w14:paraId="522D930F">
            <w:pPr>
              <w:spacing w:after="0" w:line="240" w:lineRule="auto"/>
            </w:pPr>
            <w:r>
              <w:rPr>
                <w:rFonts w:ascii="Arial" w:hAnsi="Arial"/>
                <w:b w:val="0"/>
                <w:sz w:val="18"/>
              </w:rPr>
              <w:t>0,1821</w:t>
            </w:r>
          </w:p>
        </w:tc>
      </w:tr>
      <w:tr w14:paraId="11380534">
        <w:trPr>
          <w:jc w:val="center"/>
        </w:trPr>
        <w:tc>
          <w:tcPr>
            <w:tcW w:w="936" w:type="dxa"/>
            <w:vAlign w:val="center"/>
          </w:tcPr>
          <w:p w14:paraId="6ED09A17">
            <w:pPr>
              <w:spacing w:after="0" w:line="240" w:lineRule="auto"/>
            </w:pPr>
            <w:r>
              <w:rPr>
                <w:rFonts w:ascii="Arial" w:hAnsi="Arial"/>
                <w:b w:val="0"/>
                <w:sz w:val="18"/>
              </w:rPr>
              <w:t>6,0</w:t>
            </w:r>
          </w:p>
        </w:tc>
        <w:tc>
          <w:tcPr>
            <w:tcW w:w="1152" w:type="dxa"/>
            <w:vAlign w:val="center"/>
          </w:tcPr>
          <w:p w14:paraId="32763B4A">
            <w:pPr>
              <w:spacing w:after="0" w:line="240" w:lineRule="auto"/>
            </w:pPr>
            <w:r>
              <w:rPr>
                <w:rFonts w:ascii="Arial" w:hAnsi="Arial"/>
                <w:b w:val="0"/>
                <w:sz w:val="18"/>
              </w:rPr>
              <w:t>22</w:t>
            </w:r>
          </w:p>
        </w:tc>
        <w:tc>
          <w:tcPr>
            <w:tcW w:w="1944" w:type="dxa"/>
            <w:vAlign w:val="center"/>
          </w:tcPr>
          <w:p w14:paraId="47B1040A">
            <w:pPr>
              <w:spacing w:after="0" w:line="240" w:lineRule="auto"/>
            </w:pPr>
            <w:r>
              <w:rPr>
                <w:rFonts w:ascii="Arial" w:hAnsi="Arial"/>
                <w:b w:val="0"/>
                <w:sz w:val="18"/>
              </w:rPr>
              <w:t>0,7032</w:t>
            </w:r>
          </w:p>
        </w:tc>
        <w:tc>
          <w:tcPr>
            <w:tcW w:w="1944" w:type="dxa"/>
            <w:vAlign w:val="center"/>
          </w:tcPr>
          <w:p w14:paraId="72D3FC3E">
            <w:pPr>
              <w:spacing w:after="0" w:line="240" w:lineRule="auto"/>
            </w:pPr>
            <w:r>
              <w:rPr>
                <w:rFonts w:ascii="Arial" w:hAnsi="Arial"/>
                <w:b w:val="0"/>
                <w:sz w:val="18"/>
              </w:rPr>
              <w:t>0,5225</w:t>
            </w:r>
          </w:p>
        </w:tc>
        <w:tc>
          <w:tcPr>
            <w:tcW w:w="1008" w:type="dxa"/>
            <w:vAlign w:val="center"/>
          </w:tcPr>
          <w:p w14:paraId="7F1A299C">
            <w:pPr>
              <w:spacing w:after="0" w:line="240" w:lineRule="auto"/>
            </w:pPr>
            <w:r>
              <w:rPr>
                <w:rFonts w:ascii="Arial" w:hAnsi="Arial"/>
                <w:b w:val="0"/>
                <w:sz w:val="18"/>
              </w:rPr>
              <w:t>0,2497</w:t>
            </w:r>
          </w:p>
        </w:tc>
      </w:tr>
      <w:tr w14:paraId="0655D70C">
        <w:trPr>
          <w:jc w:val="center"/>
        </w:trPr>
        <w:tc>
          <w:tcPr>
            <w:tcW w:w="936" w:type="dxa"/>
            <w:vAlign w:val="center"/>
          </w:tcPr>
          <w:p w14:paraId="4C3BFE03">
            <w:pPr>
              <w:spacing w:after="0" w:line="240" w:lineRule="auto"/>
            </w:pPr>
            <w:r>
              <w:rPr>
                <w:rFonts w:ascii="Arial" w:hAnsi="Arial"/>
                <w:b w:val="0"/>
                <w:sz w:val="18"/>
              </w:rPr>
              <w:t>6,6</w:t>
            </w:r>
          </w:p>
        </w:tc>
        <w:tc>
          <w:tcPr>
            <w:tcW w:w="1152" w:type="dxa"/>
            <w:vAlign w:val="center"/>
          </w:tcPr>
          <w:p w14:paraId="10425F1A">
            <w:pPr>
              <w:spacing w:after="0" w:line="240" w:lineRule="auto"/>
            </w:pPr>
            <w:r>
              <w:rPr>
                <w:rFonts w:ascii="Arial" w:hAnsi="Arial"/>
                <w:b w:val="0"/>
                <w:sz w:val="18"/>
              </w:rPr>
              <w:t>6</w:t>
            </w:r>
          </w:p>
        </w:tc>
        <w:tc>
          <w:tcPr>
            <w:tcW w:w="1944" w:type="dxa"/>
            <w:vAlign w:val="center"/>
          </w:tcPr>
          <w:p w14:paraId="57C6C1A0">
            <w:pPr>
              <w:spacing w:after="0" w:line="240" w:lineRule="auto"/>
            </w:pPr>
            <w:r>
              <w:rPr>
                <w:rFonts w:ascii="Arial" w:hAnsi="Arial"/>
                <w:b w:val="0"/>
                <w:sz w:val="18"/>
              </w:rPr>
              <w:t>0,6057</w:t>
            </w:r>
          </w:p>
        </w:tc>
        <w:tc>
          <w:tcPr>
            <w:tcW w:w="1944" w:type="dxa"/>
            <w:vAlign w:val="center"/>
          </w:tcPr>
          <w:p w14:paraId="495434BE">
            <w:pPr>
              <w:spacing w:after="0" w:line="240" w:lineRule="auto"/>
            </w:pPr>
            <w:r>
              <w:rPr>
                <w:rFonts w:ascii="Arial" w:hAnsi="Arial"/>
                <w:b w:val="0"/>
                <w:sz w:val="18"/>
              </w:rPr>
              <w:t>0,6537</w:t>
            </w:r>
          </w:p>
        </w:tc>
        <w:tc>
          <w:tcPr>
            <w:tcW w:w="1008" w:type="dxa"/>
            <w:vAlign w:val="center"/>
          </w:tcPr>
          <w:p w14:paraId="7C4F9126">
            <w:pPr>
              <w:spacing w:after="0" w:line="240" w:lineRule="auto"/>
            </w:pPr>
            <w:r>
              <w:rPr>
                <w:rFonts w:ascii="Arial" w:hAnsi="Arial"/>
                <w:b w:val="0"/>
                <w:sz w:val="18"/>
              </w:rPr>
              <w:t>0,0480</w:t>
            </w:r>
          </w:p>
        </w:tc>
      </w:tr>
      <w:tr w14:paraId="5FFFB225">
        <w:trPr>
          <w:jc w:val="center"/>
        </w:trPr>
        <w:tc>
          <w:tcPr>
            <w:tcW w:w="936" w:type="dxa"/>
            <w:vAlign w:val="center"/>
          </w:tcPr>
          <w:p w14:paraId="39D36A35">
            <w:pPr>
              <w:spacing w:after="0" w:line="240" w:lineRule="auto"/>
            </w:pPr>
            <w:r>
              <w:rPr>
                <w:rFonts w:ascii="Arial" w:hAnsi="Arial"/>
                <w:b w:val="0"/>
                <w:sz w:val="18"/>
              </w:rPr>
              <w:t>6,8</w:t>
            </w:r>
          </w:p>
        </w:tc>
        <w:tc>
          <w:tcPr>
            <w:tcW w:w="1152" w:type="dxa"/>
            <w:vAlign w:val="center"/>
          </w:tcPr>
          <w:p w14:paraId="6D563C67">
            <w:pPr>
              <w:spacing w:after="0" w:line="240" w:lineRule="auto"/>
            </w:pPr>
            <w:r>
              <w:rPr>
                <w:rFonts w:ascii="Arial" w:hAnsi="Arial"/>
                <w:b w:val="0"/>
                <w:sz w:val="18"/>
              </w:rPr>
              <w:t>215</w:t>
            </w:r>
          </w:p>
        </w:tc>
        <w:tc>
          <w:tcPr>
            <w:tcW w:w="1944" w:type="dxa"/>
            <w:vAlign w:val="center"/>
          </w:tcPr>
          <w:p w14:paraId="4AF37966">
            <w:pPr>
              <w:spacing w:after="0" w:line="240" w:lineRule="auto"/>
            </w:pPr>
            <w:r>
              <w:rPr>
                <w:rFonts w:ascii="Arial" w:hAnsi="Arial"/>
                <w:b w:val="0"/>
                <w:sz w:val="18"/>
              </w:rPr>
              <w:t>0,5144</w:t>
            </w:r>
          </w:p>
        </w:tc>
        <w:tc>
          <w:tcPr>
            <w:tcW w:w="1944" w:type="dxa"/>
            <w:vAlign w:val="center"/>
          </w:tcPr>
          <w:p w14:paraId="3B40CFAF">
            <w:pPr>
              <w:spacing w:after="0" w:line="240" w:lineRule="auto"/>
            </w:pPr>
            <w:r>
              <w:rPr>
                <w:rFonts w:ascii="Arial" w:hAnsi="Arial"/>
                <w:b w:val="0"/>
                <w:sz w:val="18"/>
              </w:rPr>
              <w:t>0,4912</w:t>
            </w:r>
          </w:p>
        </w:tc>
        <w:tc>
          <w:tcPr>
            <w:tcW w:w="1008" w:type="dxa"/>
            <w:vAlign w:val="center"/>
          </w:tcPr>
          <w:p w14:paraId="28148135">
            <w:pPr>
              <w:spacing w:after="0" w:line="240" w:lineRule="auto"/>
            </w:pPr>
            <w:r>
              <w:rPr>
                <w:rFonts w:ascii="Arial" w:hAnsi="Arial"/>
                <w:b w:val="0"/>
                <w:sz w:val="18"/>
              </w:rPr>
              <w:t>0,1981</w:t>
            </w:r>
          </w:p>
        </w:tc>
      </w:tr>
      <w:tr w14:paraId="465C402C">
        <w:trPr>
          <w:jc w:val="center"/>
        </w:trPr>
        <w:tc>
          <w:tcPr>
            <w:tcW w:w="936" w:type="dxa"/>
            <w:vAlign w:val="center"/>
          </w:tcPr>
          <w:p w14:paraId="75AEB3CA">
            <w:pPr>
              <w:spacing w:after="0" w:line="240" w:lineRule="auto"/>
            </w:pPr>
            <w:r>
              <w:rPr>
                <w:rFonts w:ascii="Arial" w:hAnsi="Arial"/>
                <w:b w:val="0"/>
                <w:sz w:val="18"/>
              </w:rPr>
              <w:t>7,0</w:t>
            </w:r>
          </w:p>
        </w:tc>
        <w:tc>
          <w:tcPr>
            <w:tcW w:w="1152" w:type="dxa"/>
            <w:vAlign w:val="center"/>
          </w:tcPr>
          <w:p w14:paraId="71D62AAE">
            <w:pPr>
              <w:spacing w:after="0" w:line="240" w:lineRule="auto"/>
            </w:pPr>
            <w:r>
              <w:rPr>
                <w:rFonts w:ascii="Arial" w:hAnsi="Arial"/>
                <w:b w:val="0"/>
                <w:sz w:val="18"/>
              </w:rPr>
              <w:t>418</w:t>
            </w:r>
          </w:p>
        </w:tc>
        <w:tc>
          <w:tcPr>
            <w:tcW w:w="1944" w:type="dxa"/>
            <w:vAlign w:val="center"/>
          </w:tcPr>
          <w:p w14:paraId="3E9C1D12">
            <w:pPr>
              <w:spacing w:after="0" w:line="240" w:lineRule="auto"/>
            </w:pPr>
            <w:r>
              <w:rPr>
                <w:rFonts w:ascii="Arial" w:hAnsi="Arial"/>
                <w:b w:val="0"/>
                <w:sz w:val="18"/>
              </w:rPr>
              <w:t>0,5293</w:t>
            </w:r>
          </w:p>
        </w:tc>
        <w:tc>
          <w:tcPr>
            <w:tcW w:w="1944" w:type="dxa"/>
            <w:vAlign w:val="center"/>
          </w:tcPr>
          <w:p w14:paraId="3F1EBAFD">
            <w:pPr>
              <w:spacing w:after="0" w:line="240" w:lineRule="auto"/>
            </w:pPr>
            <w:r>
              <w:rPr>
                <w:rFonts w:ascii="Arial" w:hAnsi="Arial"/>
                <w:b w:val="0"/>
                <w:sz w:val="18"/>
              </w:rPr>
              <w:t>0,5257</w:t>
            </w:r>
          </w:p>
        </w:tc>
        <w:tc>
          <w:tcPr>
            <w:tcW w:w="1008" w:type="dxa"/>
            <w:vAlign w:val="center"/>
          </w:tcPr>
          <w:p w14:paraId="368D6001">
            <w:pPr>
              <w:spacing w:after="0" w:line="240" w:lineRule="auto"/>
            </w:pPr>
            <w:r>
              <w:rPr>
                <w:rFonts w:ascii="Arial" w:hAnsi="Arial"/>
                <w:b w:val="0"/>
                <w:sz w:val="18"/>
              </w:rPr>
              <w:t>0,1799</w:t>
            </w:r>
          </w:p>
        </w:tc>
      </w:tr>
      <w:tr w14:paraId="00D2FEAA">
        <w:trPr>
          <w:jc w:val="center"/>
        </w:trPr>
        <w:tc>
          <w:tcPr>
            <w:tcW w:w="936" w:type="dxa"/>
            <w:vAlign w:val="center"/>
          </w:tcPr>
          <w:p w14:paraId="0E49BEF8">
            <w:pPr>
              <w:spacing w:after="0" w:line="240" w:lineRule="auto"/>
            </w:pPr>
            <w:r>
              <w:rPr>
                <w:rFonts w:ascii="Arial" w:hAnsi="Arial"/>
                <w:b w:val="0"/>
                <w:sz w:val="18"/>
              </w:rPr>
              <w:t>7,2</w:t>
            </w:r>
          </w:p>
        </w:tc>
        <w:tc>
          <w:tcPr>
            <w:tcW w:w="1152" w:type="dxa"/>
            <w:vAlign w:val="center"/>
          </w:tcPr>
          <w:p w14:paraId="07A3CE03">
            <w:pPr>
              <w:spacing w:after="0" w:line="240" w:lineRule="auto"/>
            </w:pPr>
            <w:r>
              <w:rPr>
                <w:rFonts w:ascii="Arial" w:hAnsi="Arial"/>
                <w:b w:val="0"/>
                <w:sz w:val="18"/>
              </w:rPr>
              <w:t>6</w:t>
            </w:r>
          </w:p>
        </w:tc>
        <w:tc>
          <w:tcPr>
            <w:tcW w:w="1944" w:type="dxa"/>
            <w:vAlign w:val="center"/>
          </w:tcPr>
          <w:p w14:paraId="1C9D9F09">
            <w:pPr>
              <w:spacing w:after="0" w:line="240" w:lineRule="auto"/>
            </w:pPr>
            <w:r>
              <w:rPr>
                <w:rFonts w:ascii="Arial" w:hAnsi="Arial"/>
                <w:b w:val="0"/>
                <w:sz w:val="18"/>
              </w:rPr>
              <w:t>0,5333</w:t>
            </w:r>
          </w:p>
        </w:tc>
        <w:tc>
          <w:tcPr>
            <w:tcW w:w="1944" w:type="dxa"/>
            <w:vAlign w:val="center"/>
          </w:tcPr>
          <w:p w14:paraId="200D2EFE">
            <w:pPr>
              <w:spacing w:after="0" w:line="240" w:lineRule="auto"/>
            </w:pPr>
            <w:r>
              <w:rPr>
                <w:rFonts w:ascii="Arial" w:hAnsi="Arial"/>
                <w:b w:val="0"/>
                <w:sz w:val="18"/>
              </w:rPr>
              <w:t>0,3071</w:t>
            </w:r>
          </w:p>
        </w:tc>
        <w:tc>
          <w:tcPr>
            <w:tcW w:w="1008" w:type="dxa"/>
            <w:vAlign w:val="center"/>
          </w:tcPr>
          <w:p w14:paraId="3F7FAA48">
            <w:pPr>
              <w:spacing w:after="0" w:line="240" w:lineRule="auto"/>
            </w:pPr>
            <w:r>
              <w:rPr>
                <w:rFonts w:ascii="Arial" w:hAnsi="Arial"/>
                <w:b w:val="0"/>
                <w:sz w:val="18"/>
              </w:rPr>
              <w:t>0,2301</w:t>
            </w:r>
          </w:p>
        </w:tc>
      </w:tr>
      <w:tr w14:paraId="6F1F1AA6">
        <w:trPr>
          <w:jc w:val="center"/>
        </w:trPr>
        <w:tc>
          <w:tcPr>
            <w:tcW w:w="936" w:type="dxa"/>
            <w:vAlign w:val="center"/>
          </w:tcPr>
          <w:p w14:paraId="57D18D42">
            <w:pPr>
              <w:spacing w:after="0" w:line="240" w:lineRule="auto"/>
            </w:pPr>
            <w:r>
              <w:rPr>
                <w:rFonts w:ascii="Arial" w:hAnsi="Arial"/>
                <w:b w:val="0"/>
                <w:sz w:val="18"/>
              </w:rPr>
              <w:t>7,4</w:t>
            </w:r>
          </w:p>
        </w:tc>
        <w:tc>
          <w:tcPr>
            <w:tcW w:w="1152" w:type="dxa"/>
            <w:vAlign w:val="center"/>
          </w:tcPr>
          <w:p w14:paraId="33005684">
            <w:pPr>
              <w:spacing w:after="0" w:line="240" w:lineRule="auto"/>
            </w:pPr>
            <w:r>
              <w:rPr>
                <w:rFonts w:ascii="Arial" w:hAnsi="Arial"/>
                <w:b w:val="0"/>
                <w:sz w:val="18"/>
              </w:rPr>
              <w:t>43</w:t>
            </w:r>
          </w:p>
        </w:tc>
        <w:tc>
          <w:tcPr>
            <w:tcW w:w="1944" w:type="dxa"/>
            <w:vAlign w:val="center"/>
          </w:tcPr>
          <w:p w14:paraId="7C79EE1A">
            <w:pPr>
              <w:spacing w:after="0" w:line="240" w:lineRule="auto"/>
            </w:pPr>
            <w:r>
              <w:rPr>
                <w:rFonts w:ascii="Arial" w:hAnsi="Arial"/>
                <w:b w:val="0"/>
                <w:sz w:val="18"/>
              </w:rPr>
              <w:t>0,2780</w:t>
            </w:r>
          </w:p>
        </w:tc>
        <w:tc>
          <w:tcPr>
            <w:tcW w:w="1944" w:type="dxa"/>
            <w:vAlign w:val="center"/>
          </w:tcPr>
          <w:p w14:paraId="06DDC0CA">
            <w:pPr>
              <w:spacing w:after="0" w:line="240" w:lineRule="auto"/>
            </w:pPr>
            <w:r>
              <w:rPr>
                <w:rFonts w:ascii="Arial" w:hAnsi="Arial"/>
                <w:b w:val="0"/>
                <w:sz w:val="18"/>
              </w:rPr>
              <w:t>0,4237</w:t>
            </w:r>
          </w:p>
        </w:tc>
        <w:tc>
          <w:tcPr>
            <w:tcW w:w="1008" w:type="dxa"/>
            <w:vAlign w:val="center"/>
          </w:tcPr>
          <w:p w14:paraId="76D576FF">
            <w:pPr>
              <w:spacing w:after="0" w:line="240" w:lineRule="auto"/>
            </w:pPr>
            <w:r>
              <w:rPr>
                <w:rFonts w:ascii="Arial" w:hAnsi="Arial"/>
                <w:b w:val="0"/>
                <w:sz w:val="18"/>
              </w:rPr>
              <w:t>0,1764</w:t>
            </w:r>
          </w:p>
        </w:tc>
      </w:tr>
      <w:tr w14:paraId="4DB485E3">
        <w:trPr>
          <w:jc w:val="center"/>
        </w:trPr>
        <w:tc>
          <w:tcPr>
            <w:tcW w:w="936" w:type="dxa"/>
            <w:vAlign w:val="center"/>
          </w:tcPr>
          <w:p w14:paraId="5721F2DF">
            <w:pPr>
              <w:spacing w:after="0" w:line="240" w:lineRule="auto"/>
            </w:pPr>
            <w:r>
              <w:rPr>
                <w:rFonts w:ascii="Arial" w:hAnsi="Arial"/>
                <w:b w:val="0"/>
                <w:sz w:val="18"/>
              </w:rPr>
              <w:t>8,0</w:t>
            </w:r>
          </w:p>
        </w:tc>
        <w:tc>
          <w:tcPr>
            <w:tcW w:w="1152" w:type="dxa"/>
            <w:vAlign w:val="center"/>
          </w:tcPr>
          <w:p w14:paraId="506007F5">
            <w:pPr>
              <w:spacing w:after="0" w:line="240" w:lineRule="auto"/>
            </w:pPr>
            <w:r>
              <w:rPr>
                <w:rFonts w:ascii="Arial" w:hAnsi="Arial"/>
                <w:b w:val="0"/>
                <w:sz w:val="18"/>
              </w:rPr>
              <w:t>9</w:t>
            </w:r>
          </w:p>
        </w:tc>
        <w:tc>
          <w:tcPr>
            <w:tcW w:w="1944" w:type="dxa"/>
            <w:vAlign w:val="center"/>
          </w:tcPr>
          <w:p w14:paraId="33A230BD">
            <w:pPr>
              <w:spacing w:after="0" w:line="240" w:lineRule="auto"/>
            </w:pPr>
            <w:r>
              <w:rPr>
                <w:rFonts w:ascii="Arial" w:hAnsi="Arial"/>
                <w:b w:val="0"/>
                <w:sz w:val="18"/>
              </w:rPr>
              <w:t>0,8528</w:t>
            </w:r>
          </w:p>
        </w:tc>
        <w:tc>
          <w:tcPr>
            <w:tcW w:w="1944" w:type="dxa"/>
            <w:vAlign w:val="center"/>
          </w:tcPr>
          <w:p w14:paraId="61CD9AD4">
            <w:pPr>
              <w:spacing w:after="0" w:line="240" w:lineRule="auto"/>
            </w:pPr>
            <w:r>
              <w:rPr>
                <w:rFonts w:ascii="Arial" w:hAnsi="Arial"/>
                <w:b w:val="0"/>
                <w:sz w:val="18"/>
              </w:rPr>
              <w:t>0,6127</w:t>
            </w:r>
          </w:p>
        </w:tc>
        <w:tc>
          <w:tcPr>
            <w:tcW w:w="1008" w:type="dxa"/>
            <w:vAlign w:val="center"/>
          </w:tcPr>
          <w:p w14:paraId="583B7A98">
            <w:pPr>
              <w:spacing w:after="0" w:line="240" w:lineRule="auto"/>
            </w:pPr>
            <w:r>
              <w:rPr>
                <w:rFonts w:ascii="Arial" w:hAnsi="Arial"/>
                <w:b w:val="0"/>
                <w:sz w:val="18"/>
              </w:rPr>
              <w:t>0,2589</w:t>
            </w:r>
          </w:p>
        </w:tc>
      </w:tr>
    </w:tbl>
    <w:p w14:paraId="4FEC9383"/>
    <w:p w14:paraId="7E83B404">
      <w:r>
        <w:t xml:space="preserve">В сохранённом выводе наибольшая MAE среди перечисленных значений pH наблюдалась при pH 1,3 (0,3126), а наименьшая </w:t>
      </w:r>
      <w:r>
        <w:rPr>
          <w:lang w:val="ru-RU"/>
        </w:rPr>
        <w:t>–</w:t>
      </w:r>
      <w:r>
        <w:t xml:space="preserve"> при pH 6,6 (0,0480), однако для pH 6,6 было всего 6 точек. Поэтому сравнение ошибок следует интерпретировать с учётом различного объёма групп.</w:t>
      </w:r>
    </w:p>
    <w:p w14:paraId="22F073A1">
      <w:pPr>
        <w:pStyle w:val="2"/>
      </w:pPr>
      <w:r>
        <w:t>10. Важность признаков</w:t>
      </w:r>
    </w:p>
    <w:p w14:paraId="20270AA3">
      <w:r>
        <w:t>В актуальном коде используется model.feature_importances_. Для LightGBM в этой конфигурации это значение по умолчанию соответствует числу разбиений (split), в которых использовался признак, а не величине улучшения качества и не причинному влиянию признака на растворение.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3888"/>
      </w:tblGrid>
      <w:tr w14:paraId="5E7DF928">
        <w:trPr>
          <w:jc w:val="center"/>
        </w:trPr>
        <w:tc>
          <w:tcPr>
            <w:tcW w:w="4752" w:type="dxa"/>
            <w:shd w:val="clear" w:color="auto" w:fill="D9EAF7"/>
            <w:vAlign w:val="center"/>
          </w:tcPr>
          <w:p w14:paraId="6F1E21B9">
            <w:pPr>
              <w:spacing w:after="0" w:line="240" w:lineRule="auto"/>
            </w:pPr>
            <w:r>
              <w:rPr>
                <w:rFonts w:ascii="Arial" w:hAnsi="Arial"/>
                <w:b/>
                <w:sz w:val="18"/>
              </w:rPr>
              <w:t>Признак</w:t>
            </w:r>
          </w:p>
        </w:tc>
        <w:tc>
          <w:tcPr>
            <w:tcW w:w="3888" w:type="dxa"/>
            <w:shd w:val="clear" w:color="auto" w:fill="D9EAF7"/>
            <w:vAlign w:val="center"/>
          </w:tcPr>
          <w:p w14:paraId="20CC272C">
            <w:pPr>
              <w:spacing w:after="0" w:line="240" w:lineRule="auto"/>
            </w:pPr>
            <w:r>
              <w:rPr>
                <w:rFonts w:ascii="Arial" w:hAnsi="Arial"/>
                <w:b/>
                <w:sz w:val="18"/>
              </w:rPr>
              <w:t>Importance (число разбиений)</w:t>
            </w:r>
          </w:p>
        </w:tc>
      </w:tr>
      <w:tr w14:paraId="34262131">
        <w:trPr>
          <w:jc w:val="center"/>
        </w:trPr>
        <w:tc>
          <w:tcPr>
            <w:tcW w:w="4752" w:type="dxa"/>
            <w:vAlign w:val="center"/>
          </w:tcPr>
          <w:p w14:paraId="4B36841C">
            <w:pPr>
              <w:spacing w:after="0" w:line="240" w:lineRule="auto"/>
            </w:pPr>
            <w:r>
              <w:rPr>
                <w:rFonts w:ascii="Arial" w:hAnsi="Arial"/>
                <w:b w:val="0"/>
                <w:sz w:val="18"/>
              </w:rPr>
              <w:t>Time</w:t>
            </w:r>
          </w:p>
        </w:tc>
        <w:tc>
          <w:tcPr>
            <w:tcW w:w="3888" w:type="dxa"/>
            <w:vAlign w:val="center"/>
          </w:tcPr>
          <w:p w14:paraId="356E4C81">
            <w:pPr>
              <w:spacing w:after="0" w:line="240" w:lineRule="auto"/>
            </w:pPr>
            <w:r>
              <w:rPr>
                <w:rFonts w:ascii="Arial" w:hAnsi="Arial"/>
                <w:b w:val="0"/>
                <w:sz w:val="18"/>
              </w:rPr>
              <w:t>154</w:t>
            </w:r>
          </w:p>
        </w:tc>
      </w:tr>
      <w:tr w14:paraId="62662C66">
        <w:trPr>
          <w:jc w:val="center"/>
        </w:trPr>
        <w:tc>
          <w:tcPr>
            <w:tcW w:w="4752" w:type="dxa"/>
            <w:vAlign w:val="center"/>
          </w:tcPr>
          <w:p w14:paraId="3B4B0D22">
            <w:pPr>
              <w:spacing w:after="0" w:line="240" w:lineRule="auto"/>
            </w:pPr>
            <w:r>
              <w:rPr>
                <w:rFonts w:ascii="Arial" w:hAnsi="Arial"/>
                <w:b w:val="0"/>
                <w:sz w:val="18"/>
              </w:rPr>
              <w:t>pH</w:t>
            </w:r>
          </w:p>
        </w:tc>
        <w:tc>
          <w:tcPr>
            <w:tcW w:w="3888" w:type="dxa"/>
            <w:vAlign w:val="center"/>
          </w:tcPr>
          <w:p w14:paraId="234D631D">
            <w:pPr>
              <w:spacing w:after="0" w:line="240" w:lineRule="auto"/>
            </w:pPr>
            <w:r>
              <w:rPr>
                <w:rFonts w:ascii="Arial" w:hAnsi="Arial"/>
                <w:b w:val="0"/>
                <w:sz w:val="18"/>
              </w:rPr>
              <w:t>61</w:t>
            </w:r>
          </w:p>
        </w:tc>
      </w:tr>
      <w:tr w14:paraId="37CE2D77">
        <w:trPr>
          <w:jc w:val="center"/>
        </w:trPr>
        <w:tc>
          <w:tcPr>
            <w:tcW w:w="4752" w:type="dxa"/>
            <w:vAlign w:val="center"/>
          </w:tcPr>
          <w:p w14:paraId="58F0E253">
            <w:pPr>
              <w:spacing w:after="0" w:line="240" w:lineRule="auto"/>
            </w:pPr>
            <w:r>
              <w:rPr>
                <w:rFonts w:ascii="Arial" w:hAnsi="Arial"/>
                <w:b w:val="0"/>
                <w:sz w:val="18"/>
              </w:rPr>
              <w:t>Drug_HBA</w:t>
            </w:r>
          </w:p>
        </w:tc>
        <w:tc>
          <w:tcPr>
            <w:tcW w:w="3888" w:type="dxa"/>
            <w:vAlign w:val="center"/>
          </w:tcPr>
          <w:p w14:paraId="4A0B58A2">
            <w:pPr>
              <w:spacing w:after="0" w:line="240" w:lineRule="auto"/>
            </w:pPr>
            <w:r>
              <w:rPr>
                <w:rFonts w:ascii="Arial" w:hAnsi="Arial"/>
                <w:b w:val="0"/>
                <w:sz w:val="18"/>
              </w:rPr>
              <w:t>50</w:t>
            </w:r>
          </w:p>
        </w:tc>
      </w:tr>
      <w:tr w14:paraId="48209661">
        <w:trPr>
          <w:jc w:val="center"/>
        </w:trPr>
        <w:tc>
          <w:tcPr>
            <w:tcW w:w="4752" w:type="dxa"/>
            <w:vAlign w:val="center"/>
          </w:tcPr>
          <w:p w14:paraId="00681886">
            <w:pPr>
              <w:spacing w:after="0" w:line="240" w:lineRule="auto"/>
            </w:pPr>
            <w:r>
              <w:rPr>
                <w:rFonts w:ascii="Arial" w:hAnsi="Arial"/>
                <w:b w:val="0"/>
                <w:sz w:val="18"/>
              </w:rPr>
              <w:t>wDrug</w:t>
            </w:r>
          </w:p>
        </w:tc>
        <w:tc>
          <w:tcPr>
            <w:tcW w:w="3888" w:type="dxa"/>
            <w:vAlign w:val="center"/>
          </w:tcPr>
          <w:p w14:paraId="24F94781">
            <w:pPr>
              <w:spacing w:after="0" w:line="240" w:lineRule="auto"/>
            </w:pPr>
            <w:r>
              <w:rPr>
                <w:rFonts w:ascii="Arial" w:hAnsi="Arial"/>
                <w:b w:val="0"/>
                <w:sz w:val="18"/>
              </w:rPr>
              <w:t>45</w:t>
            </w:r>
          </w:p>
        </w:tc>
      </w:tr>
      <w:tr w14:paraId="00E433CF">
        <w:trPr>
          <w:jc w:val="center"/>
        </w:trPr>
        <w:tc>
          <w:tcPr>
            <w:tcW w:w="4752" w:type="dxa"/>
            <w:vAlign w:val="center"/>
          </w:tcPr>
          <w:p w14:paraId="110F596D">
            <w:pPr>
              <w:spacing w:after="0" w:line="240" w:lineRule="auto"/>
            </w:pPr>
            <w:r>
              <w:rPr>
                <w:rFonts w:ascii="Arial" w:hAnsi="Arial"/>
                <w:b w:val="0"/>
                <w:sz w:val="18"/>
              </w:rPr>
              <w:t>Particle_size</w:t>
            </w:r>
          </w:p>
        </w:tc>
        <w:tc>
          <w:tcPr>
            <w:tcW w:w="3888" w:type="dxa"/>
            <w:vAlign w:val="center"/>
          </w:tcPr>
          <w:p w14:paraId="01C66F6C">
            <w:pPr>
              <w:spacing w:after="0" w:line="240" w:lineRule="auto"/>
            </w:pPr>
            <w:r>
              <w:rPr>
                <w:rFonts w:ascii="Arial" w:hAnsi="Arial"/>
                <w:b w:val="0"/>
                <w:sz w:val="18"/>
              </w:rPr>
              <w:t>42</w:t>
            </w:r>
          </w:p>
        </w:tc>
      </w:tr>
      <w:tr w14:paraId="5DEF20A9">
        <w:trPr>
          <w:jc w:val="center"/>
        </w:trPr>
        <w:tc>
          <w:tcPr>
            <w:tcW w:w="4752" w:type="dxa"/>
            <w:vAlign w:val="center"/>
          </w:tcPr>
          <w:p w14:paraId="3DE5BD91">
            <w:pPr>
              <w:spacing w:after="0" w:line="240" w:lineRule="auto"/>
            </w:pPr>
            <w:r>
              <w:rPr>
                <w:rFonts w:ascii="Arial" w:hAnsi="Arial"/>
                <w:b w:val="0"/>
                <w:sz w:val="18"/>
              </w:rPr>
              <w:t>Drug_LogS</w:t>
            </w:r>
          </w:p>
        </w:tc>
        <w:tc>
          <w:tcPr>
            <w:tcW w:w="3888" w:type="dxa"/>
            <w:vAlign w:val="center"/>
          </w:tcPr>
          <w:p w14:paraId="5E4D4A13">
            <w:pPr>
              <w:spacing w:after="0" w:line="240" w:lineRule="auto"/>
            </w:pPr>
            <w:r>
              <w:rPr>
                <w:rFonts w:ascii="Arial" w:hAnsi="Arial"/>
                <w:b w:val="0"/>
                <w:sz w:val="18"/>
              </w:rPr>
              <w:t>38</w:t>
            </w:r>
          </w:p>
        </w:tc>
      </w:tr>
      <w:tr w14:paraId="72DED796">
        <w:trPr>
          <w:jc w:val="center"/>
        </w:trPr>
        <w:tc>
          <w:tcPr>
            <w:tcW w:w="4752" w:type="dxa"/>
            <w:vAlign w:val="center"/>
          </w:tcPr>
          <w:p w14:paraId="4F766521">
            <w:pPr>
              <w:spacing w:after="0" w:line="240" w:lineRule="auto"/>
            </w:pPr>
            <w:r>
              <w:rPr>
                <w:rFonts w:ascii="Arial" w:hAnsi="Arial"/>
                <w:b w:val="0"/>
                <w:sz w:val="18"/>
              </w:rPr>
              <w:t>wExci1</w:t>
            </w:r>
          </w:p>
        </w:tc>
        <w:tc>
          <w:tcPr>
            <w:tcW w:w="3888" w:type="dxa"/>
            <w:vAlign w:val="center"/>
          </w:tcPr>
          <w:p w14:paraId="26254008">
            <w:pPr>
              <w:spacing w:after="0" w:line="240" w:lineRule="auto"/>
            </w:pPr>
            <w:r>
              <w:rPr>
                <w:rFonts w:ascii="Arial" w:hAnsi="Arial"/>
                <w:b w:val="0"/>
                <w:sz w:val="18"/>
              </w:rPr>
              <w:t>35</w:t>
            </w:r>
          </w:p>
        </w:tc>
      </w:tr>
      <w:tr w14:paraId="3988F97E">
        <w:trPr>
          <w:jc w:val="center"/>
        </w:trPr>
        <w:tc>
          <w:tcPr>
            <w:tcW w:w="4752" w:type="dxa"/>
            <w:vAlign w:val="center"/>
          </w:tcPr>
          <w:p w14:paraId="6650C80F">
            <w:pPr>
              <w:spacing w:after="0" w:line="240" w:lineRule="auto"/>
            </w:pPr>
            <w:r>
              <w:rPr>
                <w:rFonts w:ascii="Arial" w:hAnsi="Arial"/>
                <w:b w:val="0"/>
                <w:sz w:val="18"/>
              </w:rPr>
              <w:t>Exci_Mw1</w:t>
            </w:r>
          </w:p>
        </w:tc>
        <w:tc>
          <w:tcPr>
            <w:tcW w:w="3888" w:type="dxa"/>
            <w:vAlign w:val="center"/>
          </w:tcPr>
          <w:p w14:paraId="07606152">
            <w:pPr>
              <w:spacing w:after="0" w:line="240" w:lineRule="auto"/>
            </w:pPr>
            <w:r>
              <w:rPr>
                <w:rFonts w:ascii="Arial" w:hAnsi="Arial"/>
                <w:b w:val="0"/>
                <w:sz w:val="18"/>
              </w:rPr>
              <w:t>33</w:t>
            </w:r>
          </w:p>
        </w:tc>
      </w:tr>
      <w:tr w14:paraId="2C6DC54B">
        <w:trPr>
          <w:jc w:val="center"/>
        </w:trPr>
        <w:tc>
          <w:tcPr>
            <w:tcW w:w="4752" w:type="dxa"/>
            <w:vAlign w:val="center"/>
          </w:tcPr>
          <w:p w14:paraId="49EF8236">
            <w:pPr>
              <w:spacing w:after="0" w:line="240" w:lineRule="auto"/>
            </w:pPr>
            <w:r>
              <w:rPr>
                <w:rFonts w:ascii="Arial" w:hAnsi="Arial"/>
                <w:b w:val="0"/>
                <w:sz w:val="18"/>
              </w:rPr>
              <w:t>Drug_XLogP3</w:t>
            </w:r>
          </w:p>
        </w:tc>
        <w:tc>
          <w:tcPr>
            <w:tcW w:w="3888" w:type="dxa"/>
            <w:vAlign w:val="center"/>
          </w:tcPr>
          <w:p w14:paraId="2A5C02CD">
            <w:pPr>
              <w:spacing w:after="0" w:line="240" w:lineRule="auto"/>
            </w:pPr>
            <w:r>
              <w:rPr>
                <w:rFonts w:ascii="Arial" w:hAnsi="Arial"/>
                <w:b w:val="0"/>
                <w:sz w:val="18"/>
              </w:rPr>
              <w:t>28</w:t>
            </w:r>
          </w:p>
        </w:tc>
      </w:tr>
      <w:tr w14:paraId="226E5E74">
        <w:trPr>
          <w:jc w:val="center"/>
        </w:trPr>
        <w:tc>
          <w:tcPr>
            <w:tcW w:w="4752" w:type="dxa"/>
            <w:vAlign w:val="center"/>
          </w:tcPr>
          <w:p w14:paraId="3B45611B">
            <w:pPr>
              <w:spacing w:after="0" w:line="240" w:lineRule="auto"/>
            </w:pPr>
            <w:r>
              <w:rPr>
                <w:rFonts w:ascii="Arial" w:hAnsi="Arial"/>
                <w:b w:val="0"/>
                <w:sz w:val="18"/>
              </w:rPr>
              <w:t>Equivalent_dosage</w:t>
            </w:r>
          </w:p>
        </w:tc>
        <w:tc>
          <w:tcPr>
            <w:tcW w:w="3888" w:type="dxa"/>
            <w:vAlign w:val="center"/>
          </w:tcPr>
          <w:p w14:paraId="76D8EBC8">
            <w:pPr>
              <w:spacing w:after="0" w:line="240" w:lineRule="auto"/>
            </w:pPr>
            <w:r>
              <w:rPr>
                <w:rFonts w:ascii="Arial" w:hAnsi="Arial"/>
                <w:b w:val="0"/>
                <w:sz w:val="18"/>
              </w:rPr>
              <w:t>26</w:t>
            </w:r>
          </w:p>
        </w:tc>
      </w:tr>
    </w:tbl>
    <w:p w14:paraId="03EE83D9"/>
    <w:p w14:paraId="2601869A">
      <w:r>
        <w:t>Важность отражает использование признака деревьями текущей модели. Она не доказывает, что признак вызывает изменение растворения, и не показывает направление зависимости.</w:t>
      </w:r>
    </w:p>
    <w:p w14:paraId="4411F282">
      <w:pPr>
        <w:pStyle w:val="2"/>
      </w:pPr>
      <w:r>
        <w:t>11. Ограничения и корректная интерпретация</w:t>
      </w:r>
    </w:p>
    <w:p w14:paraId="2705AD49">
      <w:pPr>
        <w:pStyle w:val="23"/>
      </w:pPr>
      <w:r>
        <w:t>В коде выполняется одно разделение train/test с фиксированным random_state=42; перекрёстная проверка и подбор гиперпараметров не реализованы.</w:t>
      </w:r>
    </w:p>
    <w:p w14:paraId="30FC4105">
      <w:pPr>
        <w:pStyle w:val="23"/>
      </w:pPr>
      <w:r>
        <w:t>Групповое разделение исключает пересечение Experimental_index, но не гарантирует отсутствие одинаковых Drug_Group или одинакового действующего вещества в обеих выборках.</w:t>
      </w:r>
    </w:p>
    <w:p w14:paraId="4BF3703D">
      <w:pPr>
        <w:pStyle w:val="23"/>
      </w:pPr>
      <w:r>
        <w:t>В актуальном скрипте нет отдельного расчёта внешней валидации на полностью новых веществах или новых источниках данных.</w:t>
      </w:r>
    </w:p>
    <w:p w14:paraId="4B134B60">
      <w:pPr>
        <w:pStyle w:val="23"/>
      </w:pPr>
      <w:r>
        <w:t>102 значения Dissolution выше 1 сохраняются без преобразования; корректность и смысл таких значений требуют проверки по источникам и определению целевой переменной.</w:t>
      </w:r>
    </w:p>
    <w:p w14:paraId="77B1F4B8">
      <w:pPr>
        <w:pStyle w:val="23"/>
      </w:pPr>
      <w:r>
        <w:t>Важность признаков основана на числе разбиений LightGBM и не является причинным анализом.</w:t>
      </w:r>
    </w:p>
    <w:p w14:paraId="037E5FEF">
      <w:pPr>
        <w:pStyle w:val="23"/>
      </w:pPr>
      <w:r>
        <w:t>Блок 7.6 показывает предсказания для серии 72 на обучающей выборке; это не независимая оценка качества.</w:t>
      </w:r>
    </w:p>
    <w:p w14:paraId="0C5AD186">
      <w:pPr>
        <w:pStyle w:val="23"/>
      </w:pPr>
      <w:r>
        <w:t>Блоки 8.1 и 8.4 усредняют Dissolution при построении сводных таблиц. Они не вычисляют максимальное растворение.</w:t>
      </w:r>
    </w:p>
    <w:p w14:paraId="7072ACA7">
      <w:pPr>
        <w:pStyle w:val="23"/>
      </w:pPr>
      <w:r>
        <w:t>Код не выполняет автоматический подбор лучшего полимера для клотримазола и не создаёт отдельный скрипт предсказания для нового вещества; такие задачи требуют отдельного этапа реализации и проверки.</w:t>
      </w:r>
    </w:p>
    <w:p w14:paraId="78C83F7F">
      <w:pPr>
        <w:pStyle w:val="2"/>
      </w:pPr>
      <w:r>
        <w:t>12. Итог</w:t>
      </w:r>
    </w:p>
    <w:p w14:paraId="71746BD9">
      <w:r>
        <w:t>Подготовлен прототип регрессионной модели LightGBM для прогнозирования Dissolution по физико-химическим дескрипторам и экспериментальным параметрам. В сохранённом запуске на тестовой выборке получены RMSE = 0,2424 и R² = 0,5554. Групповое разделение по Experimental_index снижает риск попадания строк одной серии одновременно в обучение и тест.</w:t>
      </w:r>
    </w:p>
    <w:p w14:paraId="28566D15">
      <w:r>
        <w:t>Анализ ошибок выявил экспериментальные серии, для которых модель существенно завышает или занижает растворение, а группировка по pH помогает описать неоднородность качества предсказаний. Результаты указывают на наличие полезного предсказательного сигнала, но также на существенные ограничения. На текущем этапе модель следует рассматривать как исследовательский прототип для анализа данных и формирования гипотез, а не как проверенный инструмент принятия решений о составе.</w:t>
      </w:r>
    </w:p>
    <w:p w14:paraId="147469C1"/>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35A6D">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AE01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0"/>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52</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Татьяна Аржанов�</cp:lastModifiedBy>
  <dcterms:modified xsi:type="dcterms:W3CDTF">2026-10-23T13:27:45Z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80D7EB44D6DDF2E0A136DB6A0DA5DD1B_42</vt:lpwstr>
  </property>
</Properties>
</file>