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CBF20" w14:textId="77777777" w:rsidR="00A74B50" w:rsidRDefault="00C12A30">
      <w:pPr>
        <w:spacing w:after="60"/>
        <w:jc w:val="center"/>
      </w:pPr>
      <w:r>
        <w:rPr>
          <w:rFonts w:ascii="Calibri" w:eastAsia="Calibri" w:hAnsi="Calibri" w:cs="Calibri"/>
          <w:b/>
          <w:bCs/>
          <w:color w:val="1F3864"/>
          <w:sz w:val="34"/>
          <w:szCs w:val="34"/>
        </w:rPr>
        <w:t>HOMEWORK 1</w:t>
      </w:r>
    </w:p>
    <w:p w14:paraId="70C25D03" w14:textId="33834437" w:rsidR="00A74B50" w:rsidRDefault="00C12A30">
      <w:pPr>
        <w:pBdr>
          <w:bottom w:val="single" w:sz="12" w:space="8" w:color="1F3864"/>
        </w:pBdr>
        <w:spacing w:after="240"/>
        <w:jc w:val="center"/>
      </w:pPr>
      <w:r>
        <w:rPr>
          <w:rFonts w:ascii="Calibri" w:eastAsia="Calibri" w:hAnsi="Calibri" w:cs="Calibri"/>
          <w:color w:val="555555"/>
        </w:rPr>
        <w:t xml:space="preserve">Data Science for </w:t>
      </w:r>
      <w:proofErr w:type="gramStart"/>
      <w:r>
        <w:rPr>
          <w:rFonts w:ascii="Calibri" w:eastAsia="Calibri" w:hAnsi="Calibri" w:cs="Calibri"/>
          <w:color w:val="555555"/>
        </w:rPr>
        <w:t>Economics  ·</w:t>
      </w:r>
      <w:proofErr w:type="gramEnd"/>
      <w:r>
        <w:rPr>
          <w:rFonts w:ascii="Calibri" w:eastAsia="Calibri" w:hAnsi="Calibri" w:cs="Calibri"/>
          <w:color w:val="555555"/>
        </w:rPr>
        <w:t xml:space="preserve"> The Data Science Process</w:t>
      </w:r>
    </w:p>
    <w:p w14:paraId="5B4076DF" w14:textId="5747D947" w:rsidR="00CD7DF5" w:rsidRDefault="00CD7DF5" w:rsidP="00CD7DF5">
      <w:pPr>
        <w:pStyle w:val="2"/>
        <w:rPr>
          <w:rStyle w:val="af"/>
          <w:i w:val="0"/>
          <w:iCs w:val="0"/>
        </w:rPr>
      </w:pPr>
      <w:r w:rsidRPr="00CA603E">
        <w:rPr>
          <w:b/>
          <w:bCs/>
          <w:color w:val="156082" w:themeColor="accent1"/>
        </w:rPr>
        <w:t>Research Question:</w:t>
      </w:r>
      <w:r w:rsidRPr="00CA603E">
        <w:rPr>
          <w:color w:val="156082" w:themeColor="accent1"/>
        </w:rPr>
        <w:t xml:space="preserve"> </w:t>
      </w:r>
      <w:r w:rsidRPr="00CD7DF5">
        <w:rPr>
          <w:rStyle w:val="af"/>
          <w:i w:val="0"/>
          <w:iCs w:val="0"/>
        </w:rPr>
        <w:t>What factors determine unemployment in Kazakhstan?</w:t>
      </w:r>
    </w:p>
    <w:p w14:paraId="7A67636A" w14:textId="77777777" w:rsidR="00CD7DF5" w:rsidRPr="00CD7DF5" w:rsidRDefault="00CD7DF5" w:rsidP="00CD7DF5">
      <w:pPr>
        <w:pStyle w:val="2"/>
        <w:rPr>
          <w:rStyle w:val="af"/>
        </w:rPr>
      </w:pPr>
    </w:p>
    <w:p w14:paraId="64BDD66F" w14:textId="77777777" w:rsidR="00CD7DF5" w:rsidRDefault="00CD7DF5" w:rsidP="00CD7DF5">
      <w:pPr>
        <w:pStyle w:val="2"/>
        <w:rPr>
          <w:rStyle w:val="af"/>
          <w:i w:val="0"/>
          <w:iCs w:val="0"/>
          <w:lang w:val="ru-RU"/>
        </w:rPr>
      </w:pPr>
      <w:r w:rsidRPr="00CA603E">
        <w:rPr>
          <w:rStyle w:val="af"/>
          <w:rFonts w:eastAsia="Calibri"/>
          <w:b/>
          <w:bCs/>
          <w:i w:val="0"/>
          <w:iCs w:val="0"/>
          <w:color w:val="156082" w:themeColor="accent1"/>
        </w:rPr>
        <w:t xml:space="preserve">Selected Study: </w:t>
      </w:r>
      <w:proofErr w:type="spellStart"/>
      <w:r w:rsidRPr="00CD7DF5">
        <w:rPr>
          <w:rStyle w:val="af"/>
          <w:i w:val="0"/>
          <w:iCs w:val="0"/>
        </w:rPr>
        <w:t>Kakizhanova</w:t>
      </w:r>
      <w:proofErr w:type="spellEnd"/>
      <w:r w:rsidRPr="00CD7DF5">
        <w:rPr>
          <w:rStyle w:val="af"/>
          <w:i w:val="0"/>
          <w:iCs w:val="0"/>
        </w:rPr>
        <w:t xml:space="preserve">, T., </w:t>
      </w:r>
      <w:proofErr w:type="spellStart"/>
      <w:r w:rsidRPr="00CD7DF5">
        <w:rPr>
          <w:rStyle w:val="af"/>
          <w:i w:val="0"/>
          <w:iCs w:val="0"/>
        </w:rPr>
        <w:t>Kabylkairatkyzy</w:t>
      </w:r>
      <w:proofErr w:type="spellEnd"/>
      <w:r w:rsidRPr="00CD7DF5">
        <w:rPr>
          <w:rStyle w:val="af"/>
          <w:i w:val="0"/>
          <w:iCs w:val="0"/>
        </w:rPr>
        <w:t xml:space="preserve">, R., </w:t>
      </w:r>
      <w:proofErr w:type="spellStart"/>
      <w:r w:rsidRPr="00CD7DF5">
        <w:rPr>
          <w:rStyle w:val="af"/>
          <w:i w:val="0"/>
          <w:iCs w:val="0"/>
        </w:rPr>
        <w:t>Satpayeva</w:t>
      </w:r>
      <w:proofErr w:type="spellEnd"/>
      <w:r w:rsidRPr="00CD7DF5">
        <w:rPr>
          <w:rStyle w:val="af"/>
          <w:i w:val="0"/>
          <w:iCs w:val="0"/>
        </w:rPr>
        <w:t xml:space="preserve">, Z., </w:t>
      </w:r>
      <w:proofErr w:type="spellStart"/>
      <w:r w:rsidRPr="00CD7DF5">
        <w:rPr>
          <w:rStyle w:val="af"/>
          <w:i w:val="0"/>
          <w:iCs w:val="0"/>
        </w:rPr>
        <w:t>Kondybayeva</w:t>
      </w:r>
      <w:proofErr w:type="spellEnd"/>
      <w:r w:rsidRPr="00CD7DF5">
        <w:rPr>
          <w:rStyle w:val="af"/>
          <w:i w:val="0"/>
          <w:iCs w:val="0"/>
        </w:rPr>
        <w:t xml:space="preserve">, S., &amp; </w:t>
      </w:r>
      <w:proofErr w:type="spellStart"/>
      <w:r w:rsidRPr="00CD7DF5">
        <w:rPr>
          <w:rStyle w:val="af"/>
          <w:i w:val="0"/>
          <w:iCs w:val="0"/>
        </w:rPr>
        <w:t>Andabayeva</w:t>
      </w:r>
      <w:proofErr w:type="spellEnd"/>
      <w:r w:rsidRPr="00CD7DF5">
        <w:rPr>
          <w:rStyle w:val="af"/>
          <w:i w:val="0"/>
          <w:iCs w:val="0"/>
        </w:rPr>
        <w:t>, G. (2026). Macroeconomic Determinants of Unemployment in Kazakhstan: An ARDL Approach. Montenegrin Journal of Economics, 22(1), 71–84. DOI: 10.14254/1800-5845/2026.22-1.7</w:t>
      </w:r>
      <w:r>
        <w:rPr>
          <w:rStyle w:val="af"/>
          <w:i w:val="0"/>
          <w:iCs w:val="0"/>
          <w:lang w:val="ru-RU"/>
        </w:rPr>
        <w:t xml:space="preserve"> </w:t>
      </w:r>
    </w:p>
    <w:p w14:paraId="406161BD" w14:textId="77777777" w:rsidR="00CD7DF5" w:rsidRDefault="00CD7DF5" w:rsidP="00CD7DF5">
      <w:pPr>
        <w:pStyle w:val="2"/>
        <w:rPr>
          <w:rStyle w:val="af"/>
          <w:i w:val="0"/>
          <w:iCs w:val="0"/>
          <w:lang w:val="ru-RU"/>
        </w:rPr>
      </w:pPr>
    </w:p>
    <w:p w14:paraId="08FC3075" w14:textId="61D841CE" w:rsidR="00CD7DF5" w:rsidRPr="00CD7DF5" w:rsidRDefault="00CD7DF5" w:rsidP="00CD7DF5">
      <w:pPr>
        <w:pStyle w:val="2"/>
        <w:rPr>
          <w:rFonts w:eastAsia="Calibri"/>
          <w:color w:val="404040" w:themeColor="text1" w:themeTint="BF"/>
        </w:rPr>
      </w:pPr>
      <w:hyperlink r:id="rId5" w:history="1">
        <w:r w:rsidRPr="00CA603E">
          <w:rPr>
            <w:rStyle w:val="a5"/>
            <w:color w:val="156082" w:themeColor="accent1"/>
          </w:rPr>
          <w:t>Full-text article (PDF)</w:t>
        </w:r>
      </w:hyperlink>
    </w:p>
    <w:p w14:paraId="3BF1AF0C" w14:textId="77777777" w:rsidR="00CD7DF5" w:rsidRPr="00CD7DF5" w:rsidRDefault="00CD7DF5" w:rsidP="00CD7DF5">
      <w:pPr>
        <w:pStyle w:val="2"/>
        <w:spacing w:before="240" w:after="100"/>
        <w:rPr>
          <w:rFonts w:ascii="Calibri" w:eastAsia="Calibri" w:hAnsi="Calibri" w:cs="Calibri"/>
          <w:b/>
          <w:bCs/>
          <w:color w:val="2E5E8C"/>
          <w:sz w:val="23"/>
          <w:szCs w:val="23"/>
          <w:lang w:val="ru-KZ"/>
        </w:rPr>
      </w:pPr>
    </w:p>
    <w:p w14:paraId="494A57FA" w14:textId="1AD55324" w:rsidR="00A74B50" w:rsidRPr="00CA603E" w:rsidRDefault="00CD7DF5" w:rsidP="00CD7DF5">
      <w:pPr>
        <w:pStyle w:val="2"/>
        <w:rPr>
          <w:rFonts w:eastAsia="Calibri"/>
          <w:b/>
          <w:bCs/>
          <w:color w:val="156082" w:themeColor="accent1"/>
        </w:rPr>
      </w:pPr>
      <w:r w:rsidRPr="00CA603E">
        <w:rPr>
          <w:rFonts w:eastAsia="Calibri"/>
          <w:b/>
          <w:bCs/>
          <w:color w:val="156082" w:themeColor="accent1"/>
        </w:rPr>
        <w:t>Five Stages of The Data Science Process</w:t>
      </w:r>
    </w:p>
    <w:p w14:paraId="04E34660" w14:textId="77777777" w:rsidR="00CD7DF5" w:rsidRPr="00CD7DF5" w:rsidRDefault="00CD7DF5" w:rsidP="00CD7DF5">
      <w:pPr>
        <w:pStyle w:val="2"/>
        <w:rPr>
          <w:b/>
          <w:bCs/>
        </w:rPr>
      </w:pPr>
    </w:p>
    <w:p w14:paraId="441DDC99" w14:textId="77777777" w:rsidR="00A74B50" w:rsidRDefault="00C12A30">
      <w:pPr>
        <w:spacing w:after="120" w:line="276" w:lineRule="auto"/>
      </w:pPr>
      <w:r>
        <w:rPr>
          <w:rFonts w:ascii="Calibri" w:eastAsia="Calibri" w:hAnsi="Calibri" w:cs="Calibri"/>
          <w:color w:val="000000"/>
          <w:sz w:val="21"/>
          <w:szCs w:val="21"/>
        </w:rPr>
        <w:t>O</w:t>
      </w:r>
      <w:r>
        <w:rPr>
          <w:rFonts w:ascii="Calibri" w:eastAsia="Calibri" w:hAnsi="Calibri" w:cs="Calibri"/>
          <w:color w:val="000000"/>
          <w:sz w:val="21"/>
          <w:szCs w:val="21"/>
        </w:rPr>
        <w:t>ne or two sentences per stage. Reproduce this table in your answer.</w:t>
      </w:r>
    </w:p>
    <w:tbl>
      <w:tblPr>
        <w:tblW w:w="9746" w:type="dxa"/>
        <w:tblBorders>
          <w:top w:val="single" w:sz="4" w:space="0" w:color="AAB7C4"/>
          <w:left w:val="single" w:sz="4" w:space="0" w:color="AAB7C4"/>
          <w:bottom w:val="single" w:sz="4" w:space="0" w:color="AAB7C4"/>
          <w:right w:val="single" w:sz="4" w:space="0" w:color="AAB7C4"/>
          <w:insideH w:val="single" w:sz="4" w:space="0" w:color="CBD5E0"/>
          <w:insideV w:val="single" w:sz="4" w:space="0" w:color="CBD5E0"/>
        </w:tblBorders>
        <w:tblCellMar>
          <w:left w:w="10" w:type="dxa"/>
          <w:right w:w="10" w:type="dxa"/>
        </w:tblCellMar>
        <w:tblLook w:val="0000" w:firstRow="0" w:lastRow="0" w:firstColumn="0" w:lastColumn="0" w:noHBand="0" w:noVBand="0"/>
      </w:tblPr>
      <w:tblGrid>
        <w:gridCol w:w="2200"/>
        <w:gridCol w:w="4300"/>
        <w:gridCol w:w="3246"/>
      </w:tblGrid>
      <w:tr w:rsidR="00A74B50" w14:paraId="33E99994" w14:textId="77777777">
        <w:trPr>
          <w:tblHeader/>
        </w:trPr>
        <w:tc>
          <w:tcPr>
            <w:tcW w:w="2200" w:type="dxa"/>
            <w:shd w:val="clear" w:color="auto" w:fill="1F3864"/>
            <w:tcMar>
              <w:top w:w="70" w:type="dxa"/>
              <w:left w:w="100" w:type="dxa"/>
              <w:bottom w:w="70" w:type="dxa"/>
              <w:right w:w="100" w:type="dxa"/>
            </w:tcMar>
            <w:vAlign w:val="center"/>
          </w:tcPr>
          <w:p w14:paraId="48A4BE10" w14:textId="77777777" w:rsidR="00A74B50" w:rsidRDefault="00C12A30">
            <w:pPr>
              <w:spacing w:before="40" w:after="40" w:line="264" w:lineRule="auto"/>
            </w:pPr>
            <w:r>
              <w:rPr>
                <w:rFonts w:ascii="Calibri" w:eastAsia="Calibri" w:hAnsi="Calibri" w:cs="Calibri"/>
                <w:b/>
                <w:bCs/>
                <w:color w:val="FFFFFF"/>
                <w:sz w:val="19"/>
                <w:szCs w:val="19"/>
              </w:rPr>
              <w:t>Stage</w:t>
            </w:r>
          </w:p>
        </w:tc>
        <w:tc>
          <w:tcPr>
            <w:tcW w:w="4300" w:type="dxa"/>
            <w:shd w:val="clear" w:color="auto" w:fill="1F3864"/>
            <w:tcMar>
              <w:top w:w="70" w:type="dxa"/>
              <w:left w:w="100" w:type="dxa"/>
              <w:bottom w:w="70" w:type="dxa"/>
              <w:right w:w="100" w:type="dxa"/>
            </w:tcMar>
            <w:vAlign w:val="center"/>
          </w:tcPr>
          <w:p w14:paraId="731C358A" w14:textId="77777777" w:rsidR="00A74B50" w:rsidRDefault="00C12A30">
            <w:pPr>
              <w:spacing w:before="40" w:after="40" w:line="264" w:lineRule="auto"/>
            </w:pPr>
            <w:r>
              <w:rPr>
                <w:rFonts w:ascii="Calibri" w:eastAsia="Calibri" w:hAnsi="Calibri" w:cs="Calibri"/>
                <w:b/>
                <w:bCs/>
                <w:color w:val="FFFFFF"/>
                <w:sz w:val="19"/>
                <w:szCs w:val="19"/>
              </w:rPr>
              <w:t>What the paper did</w:t>
            </w:r>
          </w:p>
        </w:tc>
        <w:tc>
          <w:tcPr>
            <w:tcW w:w="3246" w:type="dxa"/>
            <w:shd w:val="clear" w:color="auto" w:fill="1F3864"/>
            <w:tcMar>
              <w:top w:w="70" w:type="dxa"/>
              <w:left w:w="100" w:type="dxa"/>
              <w:bottom w:w="70" w:type="dxa"/>
              <w:right w:w="100" w:type="dxa"/>
            </w:tcMar>
            <w:vAlign w:val="center"/>
          </w:tcPr>
          <w:p w14:paraId="1C3EE526" w14:textId="77777777" w:rsidR="00A74B50" w:rsidRDefault="00C12A30">
            <w:pPr>
              <w:spacing w:before="40" w:after="40" w:line="264" w:lineRule="auto"/>
            </w:pPr>
            <w:r>
              <w:rPr>
                <w:rFonts w:ascii="Calibri" w:eastAsia="Calibri" w:hAnsi="Calibri" w:cs="Calibri"/>
                <w:b/>
                <w:bCs/>
                <w:color w:val="FFFFFF"/>
                <w:sz w:val="19"/>
                <w:szCs w:val="19"/>
              </w:rPr>
              <w:t>How do you know?</w:t>
            </w:r>
          </w:p>
        </w:tc>
      </w:tr>
      <w:tr w:rsidR="00A74B50" w14:paraId="4E23FBB7" w14:textId="77777777">
        <w:tc>
          <w:tcPr>
            <w:tcW w:w="2200" w:type="dxa"/>
            <w:tcMar>
              <w:top w:w="70" w:type="dxa"/>
              <w:left w:w="100" w:type="dxa"/>
              <w:bottom w:w="70" w:type="dxa"/>
              <w:right w:w="100" w:type="dxa"/>
            </w:tcMar>
            <w:vAlign w:val="center"/>
          </w:tcPr>
          <w:p w14:paraId="23B59424" w14:textId="77777777" w:rsidR="00A74B50" w:rsidRDefault="00C12A30">
            <w:pPr>
              <w:spacing w:before="40" w:after="40" w:line="264" w:lineRule="auto"/>
            </w:pPr>
            <w:r>
              <w:rPr>
                <w:rFonts w:ascii="Calibri" w:eastAsia="Calibri" w:hAnsi="Calibri" w:cs="Calibri"/>
                <w:b/>
                <w:bCs/>
                <w:color w:val="000000"/>
                <w:sz w:val="19"/>
                <w:szCs w:val="19"/>
              </w:rPr>
              <w:t>1. Acquiring data</w:t>
            </w:r>
          </w:p>
        </w:tc>
        <w:tc>
          <w:tcPr>
            <w:tcW w:w="4300" w:type="dxa"/>
            <w:tcMar>
              <w:top w:w="70" w:type="dxa"/>
              <w:left w:w="100" w:type="dxa"/>
              <w:bottom w:w="70" w:type="dxa"/>
              <w:right w:w="100" w:type="dxa"/>
            </w:tcMar>
            <w:vAlign w:val="center"/>
          </w:tcPr>
          <w:p w14:paraId="0800E699" w14:textId="7059E234" w:rsidR="00A74B50" w:rsidRDefault="00CD7DF5">
            <w:pPr>
              <w:spacing w:before="40" w:after="40" w:line="264" w:lineRule="auto"/>
            </w:pPr>
            <w:r w:rsidRPr="00CD7DF5">
              <w:rPr>
                <w:rFonts w:ascii="Calibri" w:eastAsia="Calibri" w:hAnsi="Calibri" w:cs="Calibri"/>
                <w:i/>
                <w:iCs/>
                <w:color w:val="000000"/>
                <w:sz w:val="18"/>
                <w:szCs w:val="18"/>
              </w:rPr>
              <w:t>The authors used secondary annual data for Kazakhstan for 1993–2022. The data came mainly from World Development Indicators (World Bank) and Macrotrends.com. The dependent variable was unemployment, while the explanatory variables included oil price, FDI, gross capital formation, inflation, GDP per person employed, broad money, gross national expenditure and government expenditure.</w:t>
            </w:r>
          </w:p>
        </w:tc>
        <w:tc>
          <w:tcPr>
            <w:tcW w:w="3246" w:type="dxa"/>
            <w:tcMar>
              <w:top w:w="70" w:type="dxa"/>
              <w:left w:w="100" w:type="dxa"/>
              <w:bottom w:w="70" w:type="dxa"/>
              <w:right w:w="100" w:type="dxa"/>
            </w:tcMar>
            <w:vAlign w:val="center"/>
          </w:tcPr>
          <w:p w14:paraId="259B33EE" w14:textId="72DF455A" w:rsidR="00A74B50" w:rsidRPr="00CD7DF5" w:rsidRDefault="00CA603E">
            <w:pPr>
              <w:spacing w:before="40" w:after="40" w:line="264" w:lineRule="auto"/>
              <w:rPr>
                <w:rFonts w:ascii="Calibri" w:hAnsi="Calibri" w:cs="Calibri"/>
                <w:i/>
                <w:iCs/>
                <w:sz w:val="18"/>
                <w:szCs w:val="18"/>
              </w:rPr>
            </w:pPr>
            <w:r w:rsidRPr="00CA603E">
              <w:rPr>
                <w:rFonts w:ascii="Calibri" w:hAnsi="Calibri" w:cs="Calibri"/>
                <w:i/>
                <w:iCs/>
                <w:sz w:val="18"/>
                <w:szCs w:val="18"/>
              </w:rPr>
              <w:t>The authors describe the data sources and variables in the data/methodology section.</w:t>
            </w:r>
          </w:p>
        </w:tc>
      </w:tr>
      <w:tr w:rsidR="00A74B50" w14:paraId="51BE86CF" w14:textId="77777777">
        <w:tc>
          <w:tcPr>
            <w:tcW w:w="2200" w:type="dxa"/>
            <w:shd w:val="clear" w:color="auto" w:fill="EEF2F7"/>
            <w:tcMar>
              <w:top w:w="70" w:type="dxa"/>
              <w:left w:w="100" w:type="dxa"/>
              <w:bottom w:w="70" w:type="dxa"/>
              <w:right w:w="100" w:type="dxa"/>
            </w:tcMar>
            <w:vAlign w:val="center"/>
          </w:tcPr>
          <w:p w14:paraId="557C758B" w14:textId="77777777" w:rsidR="00A74B50" w:rsidRDefault="00C12A30">
            <w:pPr>
              <w:spacing w:before="40" w:after="40" w:line="264" w:lineRule="auto"/>
            </w:pPr>
            <w:r>
              <w:rPr>
                <w:rFonts w:ascii="Calibri" w:eastAsia="Calibri" w:hAnsi="Calibri" w:cs="Calibri"/>
                <w:b/>
                <w:bCs/>
                <w:color w:val="000000"/>
                <w:sz w:val="19"/>
                <w:szCs w:val="19"/>
              </w:rPr>
              <w:t>2. Exploring data</w:t>
            </w:r>
          </w:p>
        </w:tc>
        <w:tc>
          <w:tcPr>
            <w:tcW w:w="4300" w:type="dxa"/>
            <w:shd w:val="clear" w:color="auto" w:fill="EEF2F7"/>
            <w:tcMar>
              <w:top w:w="70" w:type="dxa"/>
              <w:left w:w="100" w:type="dxa"/>
              <w:bottom w:w="70" w:type="dxa"/>
              <w:right w:w="100" w:type="dxa"/>
            </w:tcMar>
            <w:vAlign w:val="center"/>
          </w:tcPr>
          <w:p w14:paraId="22B63C13" w14:textId="203FA639" w:rsidR="00A74B50" w:rsidRDefault="00CD7DF5">
            <w:pPr>
              <w:spacing w:before="40" w:after="40" w:line="264" w:lineRule="auto"/>
            </w:pPr>
            <w:r w:rsidRPr="00CD7DF5">
              <w:rPr>
                <w:rFonts w:ascii="Calibri" w:eastAsia="Calibri" w:hAnsi="Calibri" w:cs="Calibri"/>
                <w:i/>
                <w:iCs/>
                <w:color w:val="000000"/>
                <w:sz w:val="18"/>
                <w:szCs w:val="18"/>
              </w:rPr>
              <w:t>The paper presents the variables and their measurements and performs statistical tests before estimating the model. In particular, the authors examine whether the time series are stationary using the Augmented Dickey-Fuller (ADF) test.</w:t>
            </w:r>
          </w:p>
        </w:tc>
        <w:tc>
          <w:tcPr>
            <w:tcW w:w="3246" w:type="dxa"/>
            <w:shd w:val="clear" w:color="auto" w:fill="EEF2F7"/>
            <w:tcMar>
              <w:top w:w="70" w:type="dxa"/>
              <w:left w:w="100" w:type="dxa"/>
              <w:bottom w:w="70" w:type="dxa"/>
              <w:right w:w="100" w:type="dxa"/>
            </w:tcMar>
            <w:vAlign w:val="center"/>
          </w:tcPr>
          <w:p w14:paraId="442B71EE" w14:textId="00730323" w:rsidR="00A74B50" w:rsidRPr="00CA603E" w:rsidRDefault="00CA603E">
            <w:pPr>
              <w:spacing w:before="40" w:after="40" w:line="264" w:lineRule="auto"/>
              <w:rPr>
                <w:rFonts w:ascii="Calibri" w:hAnsi="Calibri" w:cs="Calibri"/>
                <w:i/>
                <w:iCs/>
                <w:sz w:val="18"/>
                <w:szCs w:val="18"/>
              </w:rPr>
            </w:pPr>
            <w:r w:rsidRPr="00CA603E">
              <w:rPr>
                <w:rFonts w:ascii="Calibri" w:hAnsi="Calibri" w:cs="Calibri"/>
                <w:i/>
                <w:iCs/>
                <w:sz w:val="18"/>
                <w:szCs w:val="18"/>
              </w:rPr>
              <w:t xml:space="preserve">The methodology section explains that the authors first test the variables for stationarity before </w:t>
            </w:r>
            <w:proofErr w:type="spellStart"/>
            <w:r w:rsidRPr="00CA603E">
              <w:rPr>
                <w:rFonts w:ascii="Calibri" w:hAnsi="Calibri" w:cs="Calibri"/>
                <w:i/>
                <w:iCs/>
                <w:sz w:val="18"/>
                <w:szCs w:val="18"/>
              </w:rPr>
              <w:t>analysing</w:t>
            </w:r>
            <w:proofErr w:type="spellEnd"/>
            <w:r w:rsidRPr="00CA603E">
              <w:rPr>
                <w:rFonts w:ascii="Calibri" w:hAnsi="Calibri" w:cs="Calibri"/>
                <w:i/>
                <w:iCs/>
                <w:sz w:val="18"/>
                <w:szCs w:val="18"/>
              </w:rPr>
              <w:t xml:space="preserve"> their long-run relationships. The ADF results are reported in Table 4</w:t>
            </w:r>
          </w:p>
        </w:tc>
      </w:tr>
      <w:tr w:rsidR="00A74B50" w14:paraId="718921E6" w14:textId="77777777">
        <w:tc>
          <w:tcPr>
            <w:tcW w:w="2200" w:type="dxa"/>
            <w:tcMar>
              <w:top w:w="70" w:type="dxa"/>
              <w:left w:w="100" w:type="dxa"/>
              <w:bottom w:w="70" w:type="dxa"/>
              <w:right w:w="100" w:type="dxa"/>
            </w:tcMar>
            <w:vAlign w:val="center"/>
          </w:tcPr>
          <w:p w14:paraId="15469AC1" w14:textId="77777777" w:rsidR="00A74B50" w:rsidRDefault="00C12A30">
            <w:pPr>
              <w:spacing w:before="40" w:after="40" w:line="264" w:lineRule="auto"/>
            </w:pPr>
            <w:r>
              <w:rPr>
                <w:rFonts w:ascii="Calibri" w:eastAsia="Calibri" w:hAnsi="Calibri" w:cs="Calibri"/>
                <w:b/>
                <w:bCs/>
                <w:color w:val="000000"/>
                <w:sz w:val="19"/>
                <w:szCs w:val="19"/>
              </w:rPr>
              <w:t>3. Pre-processing data</w:t>
            </w:r>
          </w:p>
        </w:tc>
        <w:tc>
          <w:tcPr>
            <w:tcW w:w="4300" w:type="dxa"/>
            <w:tcMar>
              <w:top w:w="70" w:type="dxa"/>
              <w:left w:w="100" w:type="dxa"/>
              <w:bottom w:w="70" w:type="dxa"/>
              <w:right w:w="100" w:type="dxa"/>
            </w:tcMar>
            <w:vAlign w:val="center"/>
          </w:tcPr>
          <w:p w14:paraId="50AB92A3" w14:textId="2824B7EA" w:rsidR="00A74B50" w:rsidRDefault="00CD7DF5">
            <w:pPr>
              <w:spacing w:before="40" w:after="40" w:line="264" w:lineRule="auto"/>
            </w:pPr>
            <w:r w:rsidRPr="00CD7DF5">
              <w:rPr>
                <w:rFonts w:ascii="Calibri" w:eastAsia="Calibri" w:hAnsi="Calibri" w:cs="Calibri"/>
                <w:i/>
                <w:iCs/>
                <w:color w:val="000000"/>
                <w:sz w:val="18"/>
                <w:szCs w:val="18"/>
              </w:rPr>
              <w:t xml:space="preserve">The variables were transformed where necessary using logarithms and first differences. The authors classified variables according to their order of integration, </w:t>
            </w:r>
            <w:proofErr w:type="gramStart"/>
            <w:r w:rsidRPr="00CD7DF5">
              <w:rPr>
                <w:rFonts w:ascii="Calibri" w:eastAsia="Calibri" w:hAnsi="Calibri" w:cs="Calibri"/>
                <w:i/>
                <w:iCs/>
                <w:color w:val="000000"/>
                <w:sz w:val="18"/>
                <w:szCs w:val="18"/>
              </w:rPr>
              <w:t>I(</w:t>
            </w:r>
            <w:proofErr w:type="gramEnd"/>
            <w:r w:rsidRPr="00CD7DF5">
              <w:rPr>
                <w:rFonts w:ascii="Calibri" w:eastAsia="Calibri" w:hAnsi="Calibri" w:cs="Calibri"/>
                <w:i/>
                <w:iCs/>
                <w:color w:val="000000"/>
                <w:sz w:val="18"/>
                <w:szCs w:val="18"/>
              </w:rPr>
              <w:t>0) or I(1), based on the ADF tests. This was necessary before applying the ARDL approach.</w:t>
            </w:r>
          </w:p>
        </w:tc>
        <w:tc>
          <w:tcPr>
            <w:tcW w:w="3246" w:type="dxa"/>
            <w:tcMar>
              <w:top w:w="70" w:type="dxa"/>
              <w:left w:w="100" w:type="dxa"/>
              <w:bottom w:w="70" w:type="dxa"/>
              <w:right w:w="100" w:type="dxa"/>
            </w:tcMar>
            <w:vAlign w:val="center"/>
          </w:tcPr>
          <w:p w14:paraId="61255DB7" w14:textId="50CD0B70" w:rsidR="00A74B50" w:rsidRPr="00CA603E" w:rsidRDefault="00CA603E">
            <w:pPr>
              <w:spacing w:before="40" w:after="40" w:line="264" w:lineRule="auto"/>
              <w:rPr>
                <w:rFonts w:ascii="Calibri" w:hAnsi="Calibri" w:cs="Calibri"/>
                <w:i/>
                <w:iCs/>
                <w:sz w:val="18"/>
                <w:szCs w:val="18"/>
              </w:rPr>
            </w:pPr>
            <w:r w:rsidRPr="00CA603E">
              <w:rPr>
                <w:rFonts w:ascii="Calibri" w:hAnsi="Calibri" w:cs="Calibri"/>
                <w:i/>
                <w:iCs/>
                <w:sz w:val="18"/>
                <w:szCs w:val="18"/>
              </w:rPr>
              <w:t>The paper explicitly discusses logarithms, first differences and the ADF test. The results show that most variables become stationary after first differencing.</w:t>
            </w:r>
          </w:p>
        </w:tc>
      </w:tr>
      <w:tr w:rsidR="00A74B50" w14:paraId="020145F1" w14:textId="77777777">
        <w:tc>
          <w:tcPr>
            <w:tcW w:w="2200" w:type="dxa"/>
            <w:shd w:val="clear" w:color="auto" w:fill="EEF2F7"/>
            <w:tcMar>
              <w:top w:w="70" w:type="dxa"/>
              <w:left w:w="100" w:type="dxa"/>
              <w:bottom w:w="70" w:type="dxa"/>
              <w:right w:w="100" w:type="dxa"/>
            </w:tcMar>
            <w:vAlign w:val="center"/>
          </w:tcPr>
          <w:p w14:paraId="34E66E64" w14:textId="77777777" w:rsidR="00A74B50" w:rsidRDefault="00C12A30">
            <w:pPr>
              <w:spacing w:before="40" w:after="40" w:line="264" w:lineRule="auto"/>
            </w:pPr>
            <w:r>
              <w:rPr>
                <w:rFonts w:ascii="Calibri" w:eastAsia="Calibri" w:hAnsi="Calibri" w:cs="Calibri"/>
                <w:b/>
                <w:bCs/>
                <w:color w:val="000000"/>
                <w:sz w:val="19"/>
                <w:szCs w:val="19"/>
              </w:rPr>
              <w:t>4. Modelling</w:t>
            </w:r>
          </w:p>
        </w:tc>
        <w:tc>
          <w:tcPr>
            <w:tcW w:w="4300" w:type="dxa"/>
            <w:shd w:val="clear" w:color="auto" w:fill="EEF2F7"/>
            <w:tcMar>
              <w:top w:w="70" w:type="dxa"/>
              <w:left w:w="100" w:type="dxa"/>
              <w:bottom w:w="70" w:type="dxa"/>
              <w:right w:w="100" w:type="dxa"/>
            </w:tcMar>
            <w:vAlign w:val="center"/>
          </w:tcPr>
          <w:p w14:paraId="0725B34B" w14:textId="68E15037" w:rsidR="00A74B50" w:rsidRDefault="00CD7DF5">
            <w:pPr>
              <w:spacing w:before="40" w:after="40" w:line="264" w:lineRule="auto"/>
            </w:pPr>
            <w:r w:rsidRPr="00CD7DF5">
              <w:rPr>
                <w:rFonts w:ascii="Calibri" w:eastAsia="Calibri" w:hAnsi="Calibri" w:cs="Calibri"/>
                <w:i/>
                <w:iCs/>
                <w:color w:val="000000"/>
                <w:sz w:val="18"/>
                <w:szCs w:val="18"/>
              </w:rPr>
              <w:t>The authors used an Autoregressive Distributed Lag (ARDL) model to examine both short-run and long-run relationships between unemployment and the macroeconomic variables. They also conducted diagnostic tests, including Granger non-causality tests and tests related to the model's validity and stability.</w:t>
            </w:r>
          </w:p>
        </w:tc>
        <w:tc>
          <w:tcPr>
            <w:tcW w:w="3246" w:type="dxa"/>
            <w:shd w:val="clear" w:color="auto" w:fill="EEF2F7"/>
            <w:tcMar>
              <w:top w:w="70" w:type="dxa"/>
              <w:left w:w="100" w:type="dxa"/>
              <w:bottom w:w="70" w:type="dxa"/>
              <w:right w:w="100" w:type="dxa"/>
            </w:tcMar>
            <w:vAlign w:val="center"/>
          </w:tcPr>
          <w:p w14:paraId="4C5C0A3B" w14:textId="69F79E91" w:rsidR="00A74B50" w:rsidRPr="00CA603E" w:rsidRDefault="00CA603E">
            <w:pPr>
              <w:spacing w:before="40" w:after="40" w:line="264" w:lineRule="auto"/>
              <w:rPr>
                <w:rFonts w:ascii="Calibri" w:hAnsi="Calibri" w:cs="Calibri"/>
                <w:i/>
                <w:iCs/>
                <w:sz w:val="18"/>
                <w:szCs w:val="18"/>
              </w:rPr>
            </w:pPr>
            <w:r w:rsidRPr="00CA603E">
              <w:rPr>
                <w:rFonts w:ascii="Calibri" w:hAnsi="Calibri" w:cs="Calibri"/>
                <w:i/>
                <w:iCs/>
                <w:sz w:val="18"/>
                <w:szCs w:val="18"/>
              </w:rPr>
              <w:t>The paper states that an ARDL model was used to evaluate the macroeconomic determinants of unemployment. The authors also report unit-root and causality tests.</w:t>
            </w:r>
          </w:p>
        </w:tc>
      </w:tr>
      <w:tr w:rsidR="00A74B50" w14:paraId="4F46D173" w14:textId="77777777">
        <w:tc>
          <w:tcPr>
            <w:tcW w:w="2200" w:type="dxa"/>
            <w:tcMar>
              <w:top w:w="70" w:type="dxa"/>
              <w:left w:w="100" w:type="dxa"/>
              <w:bottom w:w="70" w:type="dxa"/>
              <w:right w:w="100" w:type="dxa"/>
            </w:tcMar>
            <w:vAlign w:val="center"/>
          </w:tcPr>
          <w:p w14:paraId="05E4CD20" w14:textId="77777777" w:rsidR="00A74B50" w:rsidRDefault="00C12A30">
            <w:pPr>
              <w:spacing w:before="40" w:after="40" w:line="264" w:lineRule="auto"/>
            </w:pPr>
            <w:r>
              <w:rPr>
                <w:rFonts w:ascii="Calibri" w:eastAsia="Calibri" w:hAnsi="Calibri" w:cs="Calibri"/>
                <w:b/>
                <w:bCs/>
                <w:color w:val="000000"/>
                <w:sz w:val="19"/>
                <w:szCs w:val="19"/>
              </w:rPr>
              <w:t>5. Communicating</w:t>
            </w:r>
          </w:p>
        </w:tc>
        <w:tc>
          <w:tcPr>
            <w:tcW w:w="4300" w:type="dxa"/>
            <w:tcMar>
              <w:top w:w="70" w:type="dxa"/>
              <w:left w:w="100" w:type="dxa"/>
              <w:bottom w:w="70" w:type="dxa"/>
              <w:right w:w="100" w:type="dxa"/>
            </w:tcMar>
            <w:vAlign w:val="center"/>
          </w:tcPr>
          <w:p w14:paraId="359DFC4D" w14:textId="3F1BB556" w:rsidR="00A74B50" w:rsidRDefault="00CD7DF5">
            <w:pPr>
              <w:spacing w:before="40" w:after="40" w:line="264" w:lineRule="auto"/>
            </w:pPr>
            <w:r w:rsidRPr="00CD7DF5">
              <w:rPr>
                <w:rFonts w:ascii="Calibri" w:eastAsia="Calibri" w:hAnsi="Calibri" w:cs="Calibri"/>
                <w:i/>
                <w:iCs/>
                <w:color w:val="000000"/>
                <w:sz w:val="18"/>
                <w:szCs w:val="18"/>
              </w:rPr>
              <w:t>The authors conclude that oil prices and government spending have positive relationships with unemployment in the short and long run, while gross capital formation and inflation have negative relationships. They report no significant effect of FDI. The article is published in a journal and the full paper is publicly available.</w:t>
            </w:r>
          </w:p>
        </w:tc>
        <w:tc>
          <w:tcPr>
            <w:tcW w:w="3246" w:type="dxa"/>
            <w:tcMar>
              <w:top w:w="70" w:type="dxa"/>
              <w:left w:w="100" w:type="dxa"/>
              <w:bottom w:w="70" w:type="dxa"/>
              <w:right w:w="100" w:type="dxa"/>
            </w:tcMar>
            <w:vAlign w:val="center"/>
          </w:tcPr>
          <w:p w14:paraId="08E4DEDF" w14:textId="70E67F67" w:rsidR="00A74B50" w:rsidRPr="00CA603E" w:rsidRDefault="00CA603E">
            <w:pPr>
              <w:spacing w:before="40" w:after="40" w:line="264" w:lineRule="auto"/>
              <w:rPr>
                <w:rFonts w:ascii="Calibri" w:hAnsi="Calibri" w:cs="Calibri"/>
                <w:i/>
                <w:iCs/>
                <w:sz w:val="18"/>
                <w:szCs w:val="18"/>
              </w:rPr>
            </w:pPr>
            <w:r w:rsidRPr="00CA603E">
              <w:rPr>
                <w:rFonts w:ascii="Calibri" w:hAnsi="Calibri" w:cs="Calibri"/>
                <w:i/>
                <w:iCs/>
                <w:sz w:val="18"/>
                <w:szCs w:val="18"/>
              </w:rPr>
              <w:t>These findings are stated in the abstract and conclusion. The paper is published in Montenegrin Journal of Economics, Vol. 22, No. 1, pp. 71–84.</w:t>
            </w:r>
          </w:p>
        </w:tc>
      </w:tr>
    </w:tbl>
    <w:p w14:paraId="6ADE0AB5" w14:textId="77777777" w:rsidR="00A74B50" w:rsidRDefault="00A74B50">
      <w:pPr>
        <w:spacing w:after="60"/>
      </w:pPr>
    </w:p>
    <w:p w14:paraId="4DF14394" w14:textId="77777777" w:rsidR="00A74B50" w:rsidRDefault="00A74B50">
      <w:pPr>
        <w:spacing w:after="100"/>
      </w:pPr>
    </w:p>
    <w:p w14:paraId="66EBC7F3" w14:textId="7631395C" w:rsidR="00CA603E" w:rsidRPr="00CA603E" w:rsidRDefault="00C12A30" w:rsidP="00CA603E">
      <w:pPr>
        <w:pStyle w:val="a4"/>
        <w:numPr>
          <w:ilvl w:val="0"/>
          <w:numId w:val="4"/>
        </w:numPr>
        <w:spacing w:after="120" w:line="276" w:lineRule="auto"/>
        <w:rPr>
          <w:rFonts w:ascii="Calibri" w:eastAsia="Calibri" w:hAnsi="Calibri" w:cs="Calibri"/>
          <w:b/>
          <w:bCs/>
          <w:i/>
          <w:iCs/>
          <w:color w:val="156082" w:themeColor="accent1"/>
          <w:sz w:val="24"/>
          <w:szCs w:val="24"/>
        </w:rPr>
      </w:pPr>
      <w:r w:rsidRPr="00CA603E">
        <w:rPr>
          <w:rFonts w:ascii="Calibri" w:eastAsia="Calibri" w:hAnsi="Calibri" w:cs="Calibri"/>
          <w:b/>
          <w:bCs/>
          <w:i/>
          <w:iCs/>
          <w:color w:val="156082" w:themeColor="accent1"/>
          <w:sz w:val="24"/>
          <w:szCs w:val="24"/>
        </w:rPr>
        <w:t>What was the goal?</w:t>
      </w:r>
    </w:p>
    <w:p w14:paraId="02F764C6" w14:textId="77777777" w:rsidR="00CA603E" w:rsidRDefault="00CA603E">
      <w:pPr>
        <w:spacing w:after="120" w:line="276" w:lineRule="auto"/>
      </w:pPr>
      <w:r w:rsidRPr="00CA603E">
        <w:rPr>
          <w:rFonts w:ascii="Calibri" w:eastAsia="Calibri" w:hAnsi="Calibri" w:cs="Calibri"/>
          <w:color w:val="000000"/>
          <w:sz w:val="21"/>
          <w:szCs w:val="21"/>
        </w:rPr>
        <w:t>The primary goal was explanation/empirical analysis, rather than prediction. The authors explicitly state that the aim was to identify and evaluate the macroeconomic determinants of unemployment in Kazakhstan. They estimate the relationships between unemployment and eight macroeconomic indicators using an ARDL model and examine both short-run and long-run effects.</w:t>
      </w:r>
      <w:r w:rsidRPr="00CA603E">
        <w:t xml:space="preserve"> </w:t>
      </w:r>
    </w:p>
    <w:p w14:paraId="777114BD" w14:textId="3406CC3A" w:rsidR="00CA603E" w:rsidRDefault="00CA603E">
      <w:pPr>
        <w:spacing w:after="120" w:line="276" w:lineRule="auto"/>
        <w:rPr>
          <w:rFonts w:ascii="Calibri" w:eastAsia="Calibri" w:hAnsi="Calibri" w:cs="Calibri"/>
          <w:color w:val="000000"/>
          <w:sz w:val="21"/>
          <w:szCs w:val="21"/>
        </w:rPr>
      </w:pPr>
      <w:r w:rsidRPr="00CA603E">
        <w:rPr>
          <w:rFonts w:ascii="Calibri" w:eastAsia="Calibri" w:hAnsi="Calibri" w:cs="Calibri"/>
          <w:color w:val="000000"/>
          <w:sz w:val="21"/>
          <w:szCs w:val="21"/>
        </w:rPr>
        <w:t>Therefore, the study is primarily asking an explanatory/econometric question: which macroeconomic factors are associated with unemployment in Kazakhstan, and how do these relationships differ in the short and long run?</w:t>
      </w:r>
    </w:p>
    <w:p w14:paraId="03D59741" w14:textId="77777777" w:rsidR="00C12A30" w:rsidRDefault="00C12A30">
      <w:pPr>
        <w:spacing w:after="120" w:line="276" w:lineRule="auto"/>
        <w:rPr>
          <w:rFonts w:ascii="Calibri" w:eastAsia="Calibri" w:hAnsi="Calibri" w:cs="Calibri"/>
          <w:color w:val="000000"/>
          <w:sz w:val="21"/>
          <w:szCs w:val="21"/>
        </w:rPr>
      </w:pPr>
    </w:p>
    <w:p w14:paraId="4E2493D1" w14:textId="6C7FE10B" w:rsidR="00CA603E" w:rsidRPr="00CA603E" w:rsidRDefault="00C12A30" w:rsidP="00CA603E">
      <w:pPr>
        <w:pStyle w:val="a4"/>
        <w:numPr>
          <w:ilvl w:val="0"/>
          <w:numId w:val="4"/>
        </w:numPr>
        <w:spacing w:after="120" w:line="276" w:lineRule="auto"/>
        <w:rPr>
          <w:rFonts w:ascii="Calibri" w:eastAsia="Calibri" w:hAnsi="Calibri" w:cs="Calibri"/>
          <w:b/>
          <w:bCs/>
          <w:i/>
          <w:iCs/>
          <w:color w:val="156082" w:themeColor="accent1"/>
          <w:sz w:val="24"/>
          <w:szCs w:val="24"/>
        </w:rPr>
      </w:pPr>
      <w:r w:rsidRPr="00CA603E">
        <w:rPr>
          <w:rFonts w:ascii="Calibri" w:eastAsia="Calibri" w:hAnsi="Calibri" w:cs="Calibri"/>
          <w:b/>
          <w:bCs/>
          <w:i/>
          <w:iCs/>
          <w:color w:val="156082" w:themeColor="accent1"/>
          <w:sz w:val="24"/>
          <w:szCs w:val="24"/>
        </w:rPr>
        <w:t>Which stage could you not fill in?</w:t>
      </w:r>
    </w:p>
    <w:p w14:paraId="28C014C3" w14:textId="77777777" w:rsidR="00CA603E" w:rsidRPr="00CA603E" w:rsidRDefault="00CA603E" w:rsidP="00CA603E">
      <w:pPr>
        <w:spacing w:after="120" w:line="276" w:lineRule="auto"/>
        <w:rPr>
          <w:rFonts w:ascii="Calibri" w:eastAsia="Calibri" w:hAnsi="Calibri" w:cs="Calibri"/>
          <w:color w:val="000000"/>
          <w:sz w:val="21"/>
          <w:szCs w:val="21"/>
        </w:rPr>
      </w:pPr>
      <w:r w:rsidRPr="00CA603E">
        <w:rPr>
          <w:rFonts w:ascii="Calibri" w:eastAsia="Calibri" w:hAnsi="Calibri" w:cs="Calibri"/>
          <w:color w:val="000000"/>
          <w:sz w:val="21"/>
          <w:szCs w:val="21"/>
        </w:rPr>
        <w:t>The stage I could not completely fill in is Stage 3 — Pre-processing data. The article explains the transformations used in the econometric analysis, such as logarithms and first differences, but it does not provide enough detail about the complete data-cleaning process. For example, it is not clear from the paper whether there were missing observations in the original datasets, how any missing observations were handled, or whether all downloaded observations were retained.</w:t>
      </w:r>
    </w:p>
    <w:p w14:paraId="5DB4F491" w14:textId="184B129A" w:rsidR="00CA603E" w:rsidRDefault="00CA603E" w:rsidP="00CA603E">
      <w:pPr>
        <w:spacing w:after="120" w:line="276" w:lineRule="auto"/>
        <w:rPr>
          <w:rFonts w:ascii="Calibri" w:eastAsia="Calibri" w:hAnsi="Calibri" w:cs="Calibri"/>
          <w:color w:val="000000"/>
          <w:sz w:val="21"/>
          <w:szCs w:val="21"/>
        </w:rPr>
      </w:pPr>
      <w:r w:rsidRPr="00CA603E">
        <w:rPr>
          <w:rFonts w:ascii="Calibri" w:eastAsia="Calibri" w:hAnsi="Calibri" w:cs="Calibri"/>
          <w:color w:val="000000"/>
          <w:sz w:val="21"/>
          <w:szCs w:val="21"/>
        </w:rPr>
        <w:t>To fill this stage completely, I would need the replication dataset and code, or a more detailed data appendix. This is exactly the type of missing information the assignment asks us to identify.</w:t>
      </w:r>
    </w:p>
    <w:p w14:paraId="13155266" w14:textId="77777777" w:rsidR="00C12A30" w:rsidRDefault="00C12A30" w:rsidP="00CA603E">
      <w:pPr>
        <w:spacing w:after="120" w:line="276" w:lineRule="auto"/>
        <w:rPr>
          <w:rFonts w:ascii="Calibri" w:eastAsia="Calibri" w:hAnsi="Calibri" w:cs="Calibri"/>
          <w:color w:val="000000"/>
          <w:sz w:val="21"/>
          <w:szCs w:val="21"/>
        </w:rPr>
      </w:pPr>
    </w:p>
    <w:p w14:paraId="3342792A" w14:textId="4A7216A8" w:rsidR="00CA603E" w:rsidRPr="00CA603E" w:rsidRDefault="00C12A30" w:rsidP="00CA603E">
      <w:pPr>
        <w:pStyle w:val="a4"/>
        <w:numPr>
          <w:ilvl w:val="0"/>
          <w:numId w:val="4"/>
        </w:numPr>
        <w:spacing w:after="120" w:line="276" w:lineRule="auto"/>
        <w:rPr>
          <w:rFonts w:ascii="Calibri" w:eastAsia="Calibri" w:hAnsi="Calibri" w:cs="Calibri"/>
          <w:color w:val="000000"/>
          <w:sz w:val="21"/>
          <w:szCs w:val="21"/>
        </w:rPr>
      </w:pPr>
      <w:r w:rsidRPr="00CA603E">
        <w:rPr>
          <w:rFonts w:ascii="Calibri" w:eastAsia="Calibri" w:hAnsi="Calibri" w:cs="Calibri"/>
          <w:b/>
          <w:bCs/>
          <w:i/>
          <w:iCs/>
          <w:color w:val="156082" w:themeColor="accent1"/>
          <w:sz w:val="24"/>
          <w:szCs w:val="24"/>
        </w:rPr>
        <w:t xml:space="preserve">Has any failure been identified? </w:t>
      </w:r>
    </w:p>
    <w:p w14:paraId="5C543FA4" w14:textId="77777777" w:rsidR="00CA603E" w:rsidRPr="00CA603E" w:rsidRDefault="00CA603E" w:rsidP="00CA603E">
      <w:pPr>
        <w:spacing w:after="100"/>
        <w:rPr>
          <w:rFonts w:ascii="Calibri" w:eastAsia="Calibri" w:hAnsi="Calibri" w:cs="Calibri"/>
          <w:color w:val="000000"/>
          <w:sz w:val="21"/>
          <w:szCs w:val="21"/>
        </w:rPr>
      </w:pPr>
      <w:r w:rsidRPr="00CA603E">
        <w:rPr>
          <w:rFonts w:ascii="Calibri" w:eastAsia="Calibri" w:hAnsi="Calibri" w:cs="Calibri"/>
          <w:color w:val="000000"/>
          <w:sz w:val="21"/>
          <w:szCs w:val="21"/>
        </w:rPr>
        <w:t>I did not find a published correction or replication identifying a specific failure in this study. However, from reading the paper, one limitation is that the analysis relies on a relatively small annual time series: 1993–2022, giving approximately 30 yearly observations, while the model contains a relatively large number of explanatory variables.</w:t>
      </w:r>
    </w:p>
    <w:p w14:paraId="1F7F0105" w14:textId="2BB3E928" w:rsidR="00A74B50" w:rsidRDefault="00CA603E" w:rsidP="00CA603E">
      <w:pPr>
        <w:spacing w:after="100"/>
        <w:rPr>
          <w:rFonts w:ascii="Calibri" w:eastAsia="Calibri" w:hAnsi="Calibri" w:cs="Calibri"/>
          <w:color w:val="000000"/>
          <w:sz w:val="21"/>
          <w:szCs w:val="21"/>
        </w:rPr>
      </w:pPr>
      <w:r w:rsidRPr="00CA603E">
        <w:rPr>
          <w:rFonts w:ascii="Calibri" w:eastAsia="Calibri" w:hAnsi="Calibri" w:cs="Calibri"/>
          <w:color w:val="000000"/>
          <w:sz w:val="21"/>
          <w:szCs w:val="21"/>
        </w:rPr>
        <w:t>This is something I would investigate further rather than call it an established error. A replication using the authors' exact dataset and code would be needed to determine whether the model specification and results are robust.</w:t>
      </w:r>
    </w:p>
    <w:p w14:paraId="300478E0" w14:textId="77777777" w:rsidR="00C12A30" w:rsidRDefault="00C12A30" w:rsidP="00CA603E">
      <w:pPr>
        <w:spacing w:after="100"/>
      </w:pPr>
    </w:p>
    <w:p w14:paraId="66D13CEE" w14:textId="1E0A9D8E" w:rsidR="00C12A30" w:rsidRPr="00C12A30" w:rsidRDefault="00CA603E" w:rsidP="00C12A30">
      <w:pPr>
        <w:pStyle w:val="10"/>
        <w:spacing w:before="320" w:after="160"/>
        <w:rPr>
          <w:rFonts w:ascii="Calibri" w:eastAsia="Calibri" w:hAnsi="Calibri" w:cs="Calibri"/>
          <w:b/>
          <w:bCs/>
          <w:i/>
          <w:iCs/>
          <w:color w:val="156082" w:themeColor="accent1"/>
          <w:sz w:val="26"/>
          <w:szCs w:val="26"/>
        </w:rPr>
      </w:pPr>
      <w:r w:rsidRPr="00CA603E">
        <w:rPr>
          <w:rFonts w:ascii="Calibri" w:eastAsia="Calibri" w:hAnsi="Calibri" w:cs="Calibri"/>
          <w:b/>
          <w:bCs/>
          <w:i/>
          <w:iCs/>
          <w:color w:val="156082" w:themeColor="accent1"/>
          <w:sz w:val="24"/>
          <w:szCs w:val="24"/>
        </w:rPr>
        <w:t xml:space="preserve">AI </w:t>
      </w:r>
      <w:r w:rsidRPr="00CA603E">
        <w:rPr>
          <w:rFonts w:ascii="Calibri" w:eastAsia="Calibri" w:hAnsi="Calibri" w:cs="Calibri"/>
          <w:b/>
          <w:bCs/>
          <w:i/>
          <w:iCs/>
          <w:color w:val="156082" w:themeColor="accent1"/>
          <w:sz w:val="26"/>
          <w:szCs w:val="26"/>
        </w:rPr>
        <w:t xml:space="preserve">on this </w:t>
      </w:r>
      <w:proofErr w:type="gramStart"/>
      <w:r w:rsidRPr="00CA603E">
        <w:rPr>
          <w:rFonts w:ascii="Calibri" w:eastAsia="Calibri" w:hAnsi="Calibri" w:cs="Calibri"/>
          <w:b/>
          <w:bCs/>
          <w:i/>
          <w:iCs/>
          <w:color w:val="156082" w:themeColor="accent1"/>
          <w:sz w:val="26"/>
          <w:szCs w:val="26"/>
        </w:rPr>
        <w:t>tas</w:t>
      </w:r>
      <w:r w:rsidR="00C12A30">
        <w:rPr>
          <w:rFonts w:ascii="Calibri" w:eastAsia="Calibri" w:hAnsi="Calibri" w:cs="Calibri"/>
          <w:b/>
          <w:bCs/>
          <w:i/>
          <w:iCs/>
          <w:color w:val="156082" w:themeColor="accent1"/>
          <w:sz w:val="26"/>
          <w:szCs w:val="26"/>
        </w:rPr>
        <w:t>k :</w:t>
      </w:r>
      <w:proofErr w:type="gramEnd"/>
      <w:r w:rsidR="00C12A30">
        <w:rPr>
          <w:rFonts w:ascii="Calibri" w:eastAsia="Calibri" w:hAnsi="Calibri" w:cs="Calibri"/>
          <w:b/>
          <w:bCs/>
          <w:i/>
          <w:iCs/>
          <w:color w:val="156082" w:themeColor="accent1"/>
          <w:sz w:val="26"/>
          <w:szCs w:val="26"/>
        </w:rPr>
        <w:t xml:space="preserve"> </w:t>
      </w:r>
      <w:r w:rsidRPr="00CA603E">
        <w:rPr>
          <w:rFonts w:ascii="Calibri" w:eastAsia="Calibri" w:hAnsi="Calibri" w:cs="Calibri"/>
          <w:color w:val="000000"/>
          <w:sz w:val="21"/>
          <w:szCs w:val="21"/>
        </w:rPr>
        <w:t>I used AI to help locate and read the selected published study, identify the study's data sources and methodology, and organi</w:t>
      </w:r>
      <w:r>
        <w:rPr>
          <w:rFonts w:ascii="Calibri" w:eastAsia="Calibri" w:hAnsi="Calibri" w:cs="Calibri"/>
          <w:color w:val="000000"/>
          <w:sz w:val="21"/>
          <w:szCs w:val="21"/>
        </w:rPr>
        <w:t>z</w:t>
      </w:r>
      <w:r w:rsidRPr="00CA603E">
        <w:rPr>
          <w:rFonts w:ascii="Calibri" w:eastAsia="Calibri" w:hAnsi="Calibri" w:cs="Calibri"/>
          <w:color w:val="000000"/>
          <w:sz w:val="21"/>
          <w:szCs w:val="21"/>
        </w:rPr>
        <w:t>e the information according to the five stages required in the homework. I also used AI to distinguish information explicitly provided by the paper from information that could not be verified from the pape</w:t>
      </w:r>
      <w:r w:rsidR="00C12A30">
        <w:rPr>
          <w:rFonts w:ascii="Calibri" w:eastAsia="Calibri" w:hAnsi="Calibri" w:cs="Calibri"/>
          <w:color w:val="000000"/>
          <w:sz w:val="21"/>
          <w:szCs w:val="21"/>
        </w:rPr>
        <w:t>r</w:t>
      </w:r>
    </w:p>
    <w:sectPr w:rsidR="00C12A30" w:rsidRPr="00C12A3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17291"/>
    <w:multiLevelType w:val="hybridMultilevel"/>
    <w:tmpl w:val="EDB4BCCC"/>
    <w:lvl w:ilvl="0" w:tplc="90EADD58">
      <w:start w:val="1"/>
      <w:numFmt w:val="bullet"/>
      <w:lvlText w:val="●"/>
      <w:lvlJc w:val="left"/>
      <w:pPr>
        <w:ind w:left="720" w:hanging="360"/>
      </w:pPr>
    </w:lvl>
    <w:lvl w:ilvl="1" w:tplc="0ACA6868">
      <w:start w:val="1"/>
      <w:numFmt w:val="bullet"/>
      <w:lvlText w:val="○"/>
      <w:lvlJc w:val="left"/>
      <w:pPr>
        <w:ind w:left="1440" w:hanging="360"/>
      </w:pPr>
    </w:lvl>
    <w:lvl w:ilvl="2" w:tplc="E00830F0">
      <w:start w:val="1"/>
      <w:numFmt w:val="bullet"/>
      <w:lvlText w:val="■"/>
      <w:lvlJc w:val="left"/>
      <w:pPr>
        <w:ind w:left="2160" w:hanging="360"/>
      </w:pPr>
    </w:lvl>
    <w:lvl w:ilvl="3" w:tplc="B9F0D96A">
      <w:start w:val="1"/>
      <w:numFmt w:val="bullet"/>
      <w:lvlText w:val="●"/>
      <w:lvlJc w:val="left"/>
      <w:pPr>
        <w:ind w:left="2880" w:hanging="360"/>
      </w:pPr>
    </w:lvl>
    <w:lvl w:ilvl="4" w:tplc="70A62B2A">
      <w:start w:val="1"/>
      <w:numFmt w:val="bullet"/>
      <w:lvlText w:val="○"/>
      <w:lvlJc w:val="left"/>
      <w:pPr>
        <w:ind w:left="3600" w:hanging="360"/>
      </w:pPr>
    </w:lvl>
    <w:lvl w:ilvl="5" w:tplc="6B50600A">
      <w:start w:val="1"/>
      <w:numFmt w:val="bullet"/>
      <w:lvlText w:val="■"/>
      <w:lvlJc w:val="left"/>
      <w:pPr>
        <w:ind w:left="4320" w:hanging="360"/>
      </w:pPr>
    </w:lvl>
    <w:lvl w:ilvl="6" w:tplc="BEECE3DC">
      <w:start w:val="1"/>
      <w:numFmt w:val="bullet"/>
      <w:lvlText w:val="●"/>
      <w:lvlJc w:val="left"/>
      <w:pPr>
        <w:ind w:left="5040" w:hanging="360"/>
      </w:pPr>
    </w:lvl>
    <w:lvl w:ilvl="7" w:tplc="FB5810FE">
      <w:start w:val="1"/>
      <w:numFmt w:val="bullet"/>
      <w:lvlText w:val="●"/>
      <w:lvlJc w:val="left"/>
      <w:pPr>
        <w:ind w:left="5760" w:hanging="360"/>
      </w:pPr>
    </w:lvl>
    <w:lvl w:ilvl="8" w:tplc="4A60D776">
      <w:start w:val="1"/>
      <w:numFmt w:val="bullet"/>
      <w:lvlText w:val="●"/>
      <w:lvlJc w:val="left"/>
      <w:pPr>
        <w:ind w:left="6480" w:hanging="360"/>
      </w:pPr>
    </w:lvl>
  </w:abstractNum>
  <w:abstractNum w:abstractNumId="1" w15:restartNumberingAfterBreak="0">
    <w:nsid w:val="27E41E44"/>
    <w:multiLevelType w:val="hybridMultilevel"/>
    <w:tmpl w:val="8EFCD58A"/>
    <w:lvl w:ilvl="0" w:tplc="B7BC230E">
      <w:start w:val="1"/>
      <w:numFmt w:val="decimal"/>
      <w:lvlText w:val="%1."/>
      <w:lvlJc w:val="left"/>
      <w:pPr>
        <w:ind w:left="720" w:hanging="360"/>
      </w:pPr>
      <w:rPr>
        <w:rFonts w:hint="default"/>
        <w:b/>
        <w:bCs/>
        <w:i/>
        <w:iCs/>
        <w:color w:val="156082" w:themeColor="accent1"/>
        <w:sz w:val="24"/>
        <w:szCs w:val="24"/>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5527068A"/>
    <w:multiLevelType w:val="multilevel"/>
    <w:tmpl w:val="D534A914"/>
    <w:styleLink w:val="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B583352"/>
    <w:multiLevelType w:val="hybridMultilevel"/>
    <w:tmpl w:val="3A38E798"/>
    <w:lvl w:ilvl="0" w:tplc="72A822B2">
      <w:start w:val="1"/>
      <w:numFmt w:val="bullet"/>
      <w:lvlText w:val="•"/>
      <w:lvlJc w:val="left"/>
      <w:pPr>
        <w:ind w:left="340" w:hanging="200"/>
      </w:pPr>
    </w:lvl>
    <w:lvl w:ilvl="1" w:tplc="757A4B16">
      <w:numFmt w:val="decimal"/>
      <w:lvlText w:val=""/>
      <w:lvlJc w:val="left"/>
    </w:lvl>
    <w:lvl w:ilvl="2" w:tplc="23BAFCF2">
      <w:numFmt w:val="decimal"/>
      <w:lvlText w:val=""/>
      <w:lvlJc w:val="left"/>
    </w:lvl>
    <w:lvl w:ilvl="3" w:tplc="9C726EB6">
      <w:numFmt w:val="decimal"/>
      <w:lvlText w:val=""/>
      <w:lvlJc w:val="left"/>
    </w:lvl>
    <w:lvl w:ilvl="4" w:tplc="AD087DCA">
      <w:numFmt w:val="decimal"/>
      <w:lvlText w:val=""/>
      <w:lvlJc w:val="left"/>
    </w:lvl>
    <w:lvl w:ilvl="5" w:tplc="12886F0C">
      <w:numFmt w:val="decimal"/>
      <w:lvlText w:val=""/>
      <w:lvlJc w:val="left"/>
    </w:lvl>
    <w:lvl w:ilvl="6" w:tplc="B39876C2">
      <w:numFmt w:val="decimal"/>
      <w:lvlText w:val=""/>
      <w:lvlJc w:val="left"/>
    </w:lvl>
    <w:lvl w:ilvl="7" w:tplc="582262BC">
      <w:numFmt w:val="decimal"/>
      <w:lvlText w:val=""/>
      <w:lvlJc w:val="left"/>
    </w:lvl>
    <w:lvl w:ilvl="8" w:tplc="3EA0047A">
      <w:numFmt w:val="decimal"/>
      <w:lvlText w:val=""/>
      <w:lvlJc w:val="left"/>
    </w:lvl>
  </w:abstractNum>
  <w:abstractNum w:abstractNumId="4" w15:restartNumberingAfterBreak="0">
    <w:nsid w:val="7D87730C"/>
    <w:multiLevelType w:val="hybridMultilevel"/>
    <w:tmpl w:val="D6CAB908"/>
    <w:lvl w:ilvl="0" w:tplc="FE489A7A">
      <w:start w:val="1"/>
      <w:numFmt w:val="decimal"/>
      <w:lvlText w:val="%1."/>
      <w:lvlJc w:val="left"/>
      <w:pPr>
        <w:ind w:left="360" w:hanging="260"/>
      </w:pPr>
    </w:lvl>
    <w:lvl w:ilvl="1" w:tplc="BF48AEC4">
      <w:numFmt w:val="decimal"/>
      <w:lvlText w:val=""/>
      <w:lvlJc w:val="left"/>
    </w:lvl>
    <w:lvl w:ilvl="2" w:tplc="28B4FBEC">
      <w:numFmt w:val="decimal"/>
      <w:lvlText w:val=""/>
      <w:lvlJc w:val="left"/>
    </w:lvl>
    <w:lvl w:ilvl="3" w:tplc="13588186">
      <w:numFmt w:val="decimal"/>
      <w:lvlText w:val=""/>
      <w:lvlJc w:val="left"/>
    </w:lvl>
    <w:lvl w:ilvl="4" w:tplc="7870E0E2">
      <w:numFmt w:val="decimal"/>
      <w:lvlText w:val=""/>
      <w:lvlJc w:val="left"/>
    </w:lvl>
    <w:lvl w:ilvl="5" w:tplc="B8E483F6">
      <w:numFmt w:val="decimal"/>
      <w:lvlText w:val=""/>
      <w:lvlJc w:val="left"/>
    </w:lvl>
    <w:lvl w:ilvl="6" w:tplc="EB9A2A96">
      <w:numFmt w:val="decimal"/>
      <w:lvlText w:val=""/>
      <w:lvlJc w:val="left"/>
    </w:lvl>
    <w:lvl w:ilvl="7" w:tplc="285CA826">
      <w:numFmt w:val="decimal"/>
      <w:lvlText w:val=""/>
      <w:lvlJc w:val="left"/>
    </w:lvl>
    <w:lvl w:ilvl="8" w:tplc="2F84281A">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4"/>
    <w:lvlOverride w:ilvl="0">
      <w:startOverride w:val="1"/>
    </w:lvlOverride>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B50"/>
    <w:rsid w:val="00027DF7"/>
    <w:rsid w:val="00824E29"/>
    <w:rsid w:val="00A74B50"/>
    <w:rsid w:val="00C12A30"/>
    <w:rsid w:val="00CA603E"/>
    <w:rsid w:val="00CD7DF5"/>
    <w:rsid w:val="00E46B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8ACFD"/>
  <w15:docId w15:val="{672C5EC9-09EF-40CA-B8A3-8D862E5E6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paragraph" w:styleId="ac">
    <w:name w:val="Normal (Web)"/>
    <w:basedOn w:val="a"/>
    <w:uiPriority w:val="99"/>
    <w:unhideWhenUsed/>
    <w:rsid w:val="00CD7DF5"/>
    <w:pPr>
      <w:spacing w:before="100" w:beforeAutospacing="1" w:after="100" w:afterAutospacing="1"/>
    </w:pPr>
    <w:rPr>
      <w:sz w:val="24"/>
      <w:szCs w:val="24"/>
      <w:lang w:val="ru-KZ" w:eastAsia="ru-KZ"/>
    </w:rPr>
  </w:style>
  <w:style w:type="character" w:styleId="ad">
    <w:name w:val="Strong"/>
    <w:basedOn w:val="a0"/>
    <w:uiPriority w:val="22"/>
    <w:qFormat/>
    <w:rsid w:val="00CD7DF5"/>
    <w:rPr>
      <w:b/>
      <w:bCs/>
    </w:rPr>
  </w:style>
  <w:style w:type="character" w:styleId="ae">
    <w:name w:val="Emphasis"/>
    <w:basedOn w:val="a0"/>
    <w:uiPriority w:val="20"/>
    <w:qFormat/>
    <w:rsid w:val="00CD7DF5"/>
    <w:rPr>
      <w:i/>
      <w:iCs/>
    </w:rPr>
  </w:style>
  <w:style w:type="character" w:styleId="af">
    <w:name w:val="Subtle Emphasis"/>
    <w:basedOn w:val="a0"/>
    <w:uiPriority w:val="19"/>
    <w:qFormat/>
    <w:rsid w:val="00CD7DF5"/>
    <w:rPr>
      <w:i/>
      <w:iCs/>
      <w:color w:val="404040" w:themeColor="text1" w:themeTint="BF"/>
    </w:rPr>
  </w:style>
  <w:style w:type="numbering" w:customStyle="1" w:styleId="1">
    <w:name w:val="Текущий список1"/>
    <w:uiPriority w:val="99"/>
    <w:rsid w:val="00CA603E"/>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68849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nje.com/sites/mnje.com/files/v22n1/071-084%20-%20Kakizhanova%20et%20al..pdf?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795</Words>
  <Characters>4536</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Homework 1 — Anatomy of a study</vt:lpstr>
    </vt:vector>
  </TitlesOfParts>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1 — Anatomy of a study</dc:title>
  <dc:creator>ISE MNU</dc:creator>
  <cp:lastModifiedBy>Aruzhan Kussainova</cp:lastModifiedBy>
  <cp:revision>5</cp:revision>
  <dcterms:created xsi:type="dcterms:W3CDTF">2026-09-02T12:25:00Z</dcterms:created>
  <dcterms:modified xsi:type="dcterms:W3CDTF">2026-09-23T18:38:00Z</dcterms:modified>
</cp:coreProperties>
</file>