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SCAATA v2</w:t>
      </w:r>
    </w:p>
    <w:p>
      <w:pPr>
        <w:jc w:val="center"/>
      </w:pPr>
      <w:r>
        <w:rPr>
          <w:color w:val="505050"/>
          <w:sz w:val="28"/>
        </w:rPr>
        <w:t>Modifications Reference for the Research Paper</w:t>
      </w:r>
    </w:p>
    <w:p>
      <w:pPr>
        <w:jc w:val="center"/>
      </w:pPr>
      <w:r>
        <w:rPr>
          <w:i/>
          <w:color w:val="707070"/>
          <w:sz w:val="22"/>
        </w:rPr>
        <w:t>Self-Critiquing Autonomous Algorithmic Trading Agent — v1 to v2 rebuild</w:t>
      </w:r>
    </w:p>
    <w:p/>
    <w:p>
      <w:pPr>
        <w:spacing w:after="160"/>
      </w:pPr>
      <w:r>
        <w:rPr>
          <w:b w:val="0"/>
          <w:i w:val="0"/>
          <w:sz w:val="21"/>
        </w:rPr>
        <w:t>This document is the source-of-truth reference for drafting the paper outside of this environment. It records exactly what changed between the original v1 notebook/paper and this v2 rebuild, what is empirically verified vs. still mock/placeholder, and how to frame the novelty claim so it survives reviewer scrutiny. Every code/test file named below exists in the repository at the stated path.</w:t>
      </w:r>
    </w:p>
    <w:p>
      <w:pPr>
        <w:pStyle w:val="Heading1"/>
      </w:pPr>
      <w:r>
        <w:t>1. Executive Summary</w:t>
      </w:r>
    </w:p>
    <w:p>
      <w:pPr>
        <w:spacing w:after="160"/>
      </w:pPr>
      <w:r>
        <w:rPr>
          <w:b w:val="0"/>
          <w:i w:val="0"/>
          <w:sz w:val="21"/>
        </w:rPr>
        <w:t>The v1 paper is named for a self-critique loop that reshapes the trading agent’s reward from its own risk-taking behavior. In the original notebook, that loop was described in prose but never actually built: a behavior-cloning (BC) model and a meta-strategy-selector were trained and saved to disk, then never loaded back into the reinforcement-learning (RL) agent. The reward function itself was just “%change × 10” plus a stop-loss penalty — no self-critique terms of any kind.</w:t>
      </w:r>
    </w:p>
    <w:p>
      <w:pPr>
        <w:spacing w:after="160"/>
      </w:pPr>
      <w:r>
        <w:rPr>
          <w:b w:val="0"/>
          <w:i w:val="0"/>
          <w:sz w:val="21"/>
        </w:rPr>
        <w:t>This rebuild (“v2”) closes that gap for real, and extends the project along several axes the original paper did not cover: causal regime segmentation, a genuine multi-agent LangGraph pipeline, a news-sentiment (“3rd eye”) module, a mixture-of-experts variant, an LLM-agent-only baseline, a substantially strengthened statistical/evaluation methodology, and a live paper-trading forward test connected to a real broker (Section 11.4) — the strongest available evidence against look-ahead leakage, and no longer just a future-work aspiration. Section 13 gives explicit guidance on how to state the novelty claim so it remains defensible: the closed loop is the real, tested contribution; individual reward-shaping terms are not claimed as novel in isolation.</w:t>
      </w:r>
    </w:p>
    <w:p>
      <w:pPr>
        <w:pStyle w:val="Heading1"/>
      </w:pPr>
      <w:r>
        <w:t>2. The Core Gap in v1, and How v2 Closes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v1 (as found)</w:t>
            </w:r>
          </w:p>
        </w:tc>
        <w:tc>
          <w:tcPr>
            <w:tcW w:type="dxa" w:w="446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v2 (this rebuild)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Reward = %change × 10, plus a stop-loss penalty. No risk-shaping terms.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Reward adds three causal, step-wise penalty terms: drawdown extension, volatility-chasing entry, prolonged losing-position holding.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BC model trained, saved to disk, never reloaded into the RL policy.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BC weights are loaded into the RecurrentPPO policy before fine-tuning; verified post-load that the action distribution correlates with the BC model’s own predictions.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Meta-selector trained and its output computed, but never reaches the RL agent.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Meta-selector confidence is added as an observation feature (‘meta_confidence’) and an action-agreement reward bonus, so it actually influences the policy.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No regression tests for any of the above — the gap was invisible until code was actually traced.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All three fixes are regression-tested: tests/test_reward.py, tests/test_policy_init.py, and the meta-selector wiring is exercised in tests/test_agents_graph.py.</w:t>
            </w:r>
          </w:p>
        </w:tc>
      </w:tr>
    </w:tbl>
    <w:p/>
    <w:p>
      <w:pPr>
        <w:pStyle w:val="Heading1"/>
      </w:pPr>
      <w:r>
        <w:t>3. Data &amp; Evaluation Methodology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31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v1</w:t>
            </w:r>
          </w:p>
        </w:tc>
        <w:tc>
          <w:tcPr>
            <w:tcW w:type="dxa" w:w="360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v2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Date range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2015–2023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2020–2026 (covers COVID crash, ZIRP bull, 2022 bear, AI rally, and the most recent unseen regime)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Tickers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6 mega-caps: AAPL, MSFT, GOOGL, AMZN, NVDA, META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Same 6, plus 3 “non-survivor” tickers with a materially rougher stretch: XOM, INTC, BABA (9 total) — addresses survivorship bias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Train/test split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Single fixed split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Walk-forward: 9 rolling-origin folds, 2-year train windows, 6-month test windows, 6-month step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Baselines compared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Buy-and-hold, rule-based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Buy-and-hold, rule-based, PPO, and a new LLM-agent-only baseline (Section 9)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Seeds per configuration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1 (implicit)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5 (seeds 0–4) for Phase 1’s walk-forward comparison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PPO training budget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Unspecified / under-trained in v1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100,000 timesteps per training run (full-scale, not the notebooks’ fast smoke-test default)</w:t>
            </w:r>
          </w:p>
        </w:tc>
      </w:tr>
    </w:tbl>
    <w:p/>
    <w:p>
      <w:pPr>
        <w:pStyle w:val="Heading1"/>
      </w:pPr>
      <w:r>
        <w:t>4. Regime Detection (New in v2)</w:t>
      </w:r>
    </w:p>
    <w:p>
      <w:pPr>
        <w:spacing w:after="160"/>
      </w:pPr>
      <w:r>
        <w:rPr>
          <w:b w:val="0"/>
          <w:i w:val="0"/>
          <w:sz w:val="21"/>
        </w:rPr>
        <w:t>v1 reported a single blended metric across the whole test period. v2 buckets every trading day into one of four causal regimes and reports metrics per regime, so a strategy that only works in calm bull markets is visible as such rather than averaged away.</w:t>
      </w:r>
    </w:p>
    <w:p>
      <w:pPr>
        <w:pStyle w:val="ListBullet"/>
      </w:pPr>
      <w:r>
        <w:t>Regimes: calm_bull, bear, volatile_bull, crisis — derived from strictly trailing rolling windows (never centered or expanding over the full sample).</w:t>
      </w:r>
    </w:p>
    <w:p>
      <w:pPr>
        <w:pStyle w:val="ListBullet"/>
      </w:pPr>
      <w:r>
        <w:t>Cross-checked against an independent HMM fit on the training slice only, decoded causally via a trailing context window (scaata/regimes/detector.py::_causal_hmm_decode). Agreement measured via Cohen’s kappa = 0.188 in the current run — low agreement is expected (threshold vs. HMM regimes are different constructs) and is reported, not hidden.</w:t>
      </w:r>
    </w:p>
    <w:p>
      <w:pPr>
        <w:pStyle w:val="ListBullet"/>
      </w:pPr>
      <w:r>
        <w:t>Causality is unit-tested, not just designed: tests/test_regimes.py verifies a regime label at time t is unchanged when the series is truncated immediately after t.</w:t>
      </w:r>
    </w:p>
    <w:p>
      <w:pPr>
        <w:pStyle w:val="Heading1"/>
      </w:pPr>
      <w:r>
        <w:t>5. Statistical Methodology (New in v2)</w:t>
      </w:r>
    </w:p>
    <w:p>
      <w:pPr>
        <w:pStyle w:val="ListBullet"/>
      </w:pPr>
      <w:r>
        <w:t>Block-bootstrap confidence intervals (2,000 resamples, block size 20 days to respect return autocorrelation) on Sharpe/Sortino/max-drawdown, instead of a single point estimate.</w:t>
      </w:r>
    </w:p>
    <w:p>
      <w:pPr>
        <w:pStyle w:val="ListBullet"/>
      </w:pPr>
      <w:r>
        <w:t>Paired Wilcoxon signed-rank tests comparing PPO against each baseline across (ticker, fold) pairs, instead of an eyeballed comparison of pooled medians.</w:t>
      </w:r>
    </w:p>
    <w:p>
      <w:pPr>
        <w:pStyle w:val="ListBullet"/>
      </w:pPr>
      <w:r>
        <w:t>Multi-seed variance reporting (mean/std/min/max across 5 seeds per (ticker, fold)) so seed sensitivity is visible rather than implicitly averaged out.</w:t>
      </w:r>
    </w:p>
    <w:p>
      <w:pPr>
        <w:pStyle w:val="Heading1"/>
      </w:pPr>
      <w:r>
        <w:t>6. Multi-Agent Inner Loop (New in v2)</w:t>
      </w:r>
    </w:p>
    <w:p>
      <w:pPr>
        <w:spacing w:after="160"/>
      </w:pPr>
      <w:r>
        <w:rPr>
          <w:b w:val="0"/>
          <w:i w:val="0"/>
          <w:sz w:val="21"/>
        </w:rPr>
        <w:t>A LangGraph StateGraph replaces what was, in v1, a linear sequence of function calls with no real feedback path: Scraper → Normalizer → Regime-Classifier → Meta-Selector ↔ Critique, with a genuine bounded feedback edge (Critique → Meta-Selector, capped at MAX_GRAPH_ITERATIONS=4 or early convergence).</w:t>
      </w:r>
    </w:p>
    <w:p>
      <w:pPr>
        <w:pStyle w:val="ListBullet"/>
      </w:pPr>
      <w:r>
        <w:t>Ablation suite: phase1_baseline / bc_only / meta_only / self_critique_only / full pipeline, each an independently trained 100k-timestep PPO run — the evidence that closing each gap actually changes learned behavior, not just that the code runs.</w:t>
      </w:r>
    </w:p>
    <w:p>
      <w:pPr>
        <w:pStyle w:val="ListBullet"/>
      </w:pPr>
      <w:r>
        <w:t>Strategy-pool robustness test: 2 deliberately poisoned strategies injected alongside 3 good ones. Result: good strategies retain mean weight 0.667, poisoned strategies are down-weighted to mean weight 0.500 (“down-weighted as expected” = True) — direct evidence for the paper’s central “self-critiquing” claim, and regression-tested in tests/test_robustness.py so it cannot silently regress.</w:t>
      </w:r>
    </w:p>
    <w:p>
      <w:pPr>
        <w:pStyle w:val="Heading1"/>
      </w:pPr>
      <w:r>
        <w:t>7. 3rd Eye Sentiment Module (New in v2)</w:t>
      </w:r>
    </w:p>
    <w:p>
      <w:pPr>
        <w:spacing w:after="160"/>
      </w:pPr>
      <w:r>
        <w:rPr>
          <w:b w:val="0"/>
          <w:i w:val="0"/>
          <w:sz w:val="21"/>
        </w:rPr>
        <w:t>Not present in v1 at all. Pulls GDELT news-sentiment data, scores it with a local FinBERT model, and correlates it against realized volatility/returns, with a Granger causality lead-lag test and an LLM-generated (or template-fallback) narrative that is faithfulness-checked against the numbers it was given.</w:t>
      </w:r>
    </w:p>
    <w:p>
      <w:pPr>
        <w:pStyle w:val="ListBullet"/>
      </w:pPr>
      <w:r>
        <w:t>Causal trading-day alignment: UTC timestamps are rolled to the next US trading day if they land after 4pm Eastern close, preventing next-day leakage. Verified in tests/test_gdelt_alignment.py.</w:t>
      </w:r>
    </w:p>
    <w:p>
      <w:pPr>
        <w:pStyle w:val="ListBullet"/>
      </w:pPr>
      <w:r>
        <w:t>Current status: mock/synthetic. Live GDELT access is rate-limited/blocked from this project’s development sandbox IP regardless of backoff strategy (confirmed via direct curl testing) — an environmental limitation, not a code defect. The query-construction and causal-alignment logic are real and unit-tested; the sentiment values themselves are synthetic in every run performed so far.</w:t>
      </w:r>
    </w:p>
    <w:p>
      <w:pPr>
        <w:pStyle w:val="Heading1"/>
      </w:pPr>
      <w:r>
        <w:t>8. Mixture of Experts — Stretch Goal (New in v2)</w:t>
      </w:r>
    </w:p>
    <w:p>
      <w:pPr>
        <w:spacing w:after="160"/>
      </w:pPr>
      <w:r>
        <w:rPr>
          <w:b w:val="0"/>
          <w:i w:val="0"/>
          <w:sz w:val="21"/>
        </w:rPr>
        <w:t>Two specialist RecurrentPPO policies (calm-regime and stress-regime) trained on causally contiguous same-regime segments, routed at inference time by a hard gate.</w:t>
      </w:r>
    </w:p>
    <w:p>
      <w:pPr>
        <w:pStyle w:val="ListBullet"/>
      </w:pPr>
      <w:r>
        <w:t>The gate (scaata/rl/moe/gating.py::RegimeGate, a LogisticRegression) is fit on the training split only and called at evaluation time via .predict() on feature rows — it structurally cannot access the true regime label, confirmed by tests/test_moe.py. This matters because a gate that could see the true label would make the MoE-vs-baseline comparison unfairly favorable (oracle leakage).</w:t>
      </w:r>
    </w:p>
    <w:p>
      <w:pPr>
        <w:pStyle w:val="ListBullet"/>
      </w:pPr>
      <w:r>
        <w:t>Current empirical result (AAPL, 2020–2024, 100k timesteps/expert): gate accuracy 0.884 against causal threshold labels on held-out data (n=398). Calm expert trained on 9 contiguous segments (10–181 days each); stress expert trained on only 3 short segments (14–19 days each) — a real small-sample / overfitting risk, disclosed in the notebook and in the threats-to-validity document rather than hidden.</w:t>
      </w:r>
    </w:p>
    <w:p>
      <w:pPr>
        <w:pStyle w:val="ListBullet"/>
      </w:pPr>
      <w:r>
        <w:t>MoE-vs-single-policy backtest (see Section 11.3 for the full per-regime table): MoE finished at 9,486.06 final equity vs. the single-policy baseline’s 10,700.32 — MoE underperformed here, but every regime row except calm_bull is small-sample (≤34 days), so this is one noisy comparison, not strong evidence either way at this scale.</w:t>
      </w:r>
    </w:p>
    <w:p>
      <w:pPr>
        <w:pStyle w:val="Heading1"/>
      </w:pPr>
      <w:r>
        <w:t>9. LLM-Agent-Only Baseline (New in v2, Phase 7)</w:t>
      </w:r>
    </w:p>
    <w:p>
      <w:pPr>
        <w:spacing w:after="160"/>
      </w:pPr>
      <w:r>
        <w:rPr>
          <w:b w:val="0"/>
          <w:i w:val="0"/>
          <w:sz w:val="21"/>
        </w:rPr>
        <w:t>A new comparison point, not present in v1: at each trading day, an LLM (Groq llama-3.1-8b-instant) is prompted directly with a plain-language description of the day’s features and asked for a buy/hold/sell decision — no RL training at all. This tests whether the structured RL + self-critique + meta-selection system actually outperforms simply asking a language model what to do.</w:t>
      </w:r>
    </w:p>
    <w:p>
      <w:pPr>
        <w:pStyle w:val="ListBullet"/>
      </w:pPr>
      <w:r>
        <w:t>Falls back to a deterministic, momentum-based mock decision when no GROQ_API_KEY is configured, with the source (“llm” vs. “mock”) tagged on every result so it can never be mistaken for a live finding. In every run performed so far, no key was configured, so this column’s source = mock.</w:t>
      </w:r>
    </w:p>
    <w:p>
      <w:pPr>
        <w:pStyle w:val="ListBullet"/>
      </w:pPr>
      <w:r>
        <w:t>Integrated as a 4th column in Phase 1’s comparison table and included in the paired Wilcoxon significance report (ppo_vs_llm_agent).</w:t>
      </w:r>
    </w:p>
    <w:p>
      <w:pPr>
        <w:pStyle w:val="Heading1"/>
      </w:pPr>
      <w:r>
        <w:t>10. Research Rigor &amp; Honesty Additions (New in v2)</w:t>
      </w:r>
    </w:p>
    <w:p>
      <w:pPr>
        <w:pStyle w:val="ListBullet"/>
      </w:pPr>
      <w:r>
        <w:t>A written threats-to-validity document (docs/THREATS_TO_VALIDITY.md) naming 10 specific risks, each with what mitigates it and what residual risk remains — see Section 14 for the condensed table.</w:t>
      </w:r>
    </w:p>
    <w:p>
      <w:pPr>
        <w:pStyle w:val="ListBullet"/>
      </w:pPr>
      <w:r>
        <w:t>A monolithic-vs-decomposed agent comparison: one LLM call doing everything vs. the role-decomposed LangGraph pipeline, holding capability roughly constant. Harness runs end-to-end and is unit-tested (tests/test_monolithic_comparison.py); the “monolithic” side currently falls back to a random mock weight (no GROQ_API_KEY), so today’s correlation numbers (decomposed 0.923 vs. monolithic −0.707) prove the harness works, not that monolithic reasoning is actually worse.</w:t>
      </w:r>
    </w:p>
    <w:p>
      <w:pPr>
        <w:pStyle w:val="ListBullet"/>
      </w:pPr>
      <w:r>
        <w:t>Status banners at the top of every notebook stating, unmissably, what is real vs. mock/smoke-test for that specific phase.</w:t>
      </w:r>
    </w:p>
    <w:p>
      <w:pPr>
        <w:pStyle w:val="ListBullet"/>
      </w:pPr>
      <w:r>
        <w:t>A project-root README.md as the plain-English front door: states the core contribution in one paragraph, decodes the architecture diagram’s informal vocabulary, and gives a phase-by-phase status table.</w:t>
      </w:r>
    </w:p>
    <w:p>
      <w:pPr>
        <w:pStyle w:val="ListBullet"/>
      </w:pPr>
      <w:r>
        <w:t>A reconstruction-gap disclosure for the reward penalty formulas (see Section 13 — this is the single most important framing point for the paper).</w:t>
      </w:r>
    </w:p>
    <w:p>
      <w:pPr>
        <w:pStyle w:val="Heading1"/>
      </w:pPr>
      <w:r>
        <w:t>11. Current Empirical Results</w:t>
      </w:r>
    </w:p>
    <w:p>
      <w:pPr>
        <w:pStyle w:val="Heading2"/>
      </w:pPr>
      <w:r>
        <w:t>11.1 Phase 1 — Walk-forward backtest</w:t>
      </w:r>
    </w:p>
    <w:p>
      <w:pPr>
        <w:spacing w:after="160"/>
      </w:pPr>
      <w:r>
        <w:rPr>
          <w:b w:val="0"/>
          <w:i w:val="0"/>
          <w:sz w:val="21"/>
        </w:rPr>
        <w:t>9 tickers × 9 rolling folds (spanning 2022–2026) × 5 seeds × 100k PPO timesteps/seed. Full-scale, complete, zero execution errors.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Method / regime</w:t>
            </w:r>
          </w:p>
        </w:tc>
        <w:tc>
          <w:tcPr>
            <w:tcW w:type="dxa" w:w="158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Sharpe</w:t>
            </w:r>
          </w:p>
        </w:tc>
        <w:tc>
          <w:tcPr>
            <w:tcW w:type="dxa" w:w="158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Sortino</w:t>
            </w:r>
          </w:p>
        </w:tc>
        <w:tc>
          <w:tcPr>
            <w:tcW w:type="dxa" w:w="144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Max DD</w:t>
            </w:r>
          </w:p>
        </w:tc>
        <w:tc>
          <w:tcPr>
            <w:tcW w:type="dxa" w:w="158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Turnover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buy_and_hold — ALL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0.686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1.346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−0.236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0.00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 xml:space="preserve">  bear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5.792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6.295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−0.118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0.00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 xml:space="preserve">  calm_bull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0.243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0.746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−0.200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0.00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 xml:space="preserve">  crisis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4.696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4.539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−0.074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0.00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 xml:space="preserve">  volatile_bull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−142.180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−188.245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−0.058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0.00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ppo — ALL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0.216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0.469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−0.156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0.72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 xml:space="preserve">  bear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−5.655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−5.829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−0.125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0.76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 xml:space="preserve">  calm_bull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0.816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1.283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−0.095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0.71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 xml:space="preserve">  crisis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−3.325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0.323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−0.040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0.71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 xml:space="preserve">  volatile_bull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2.070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6.592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−0.025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0.80</w:t>
            </w:r>
          </w:p>
        </w:tc>
      </w:tr>
    </w:tbl>
    <w:p/>
    <w:p>
      <w:pPr>
        <w:spacing w:after="40"/>
      </w:pPr>
      <w:r>
        <w:rPr>
          <w:b/>
          <w:i w:val="0"/>
          <w:sz w:val="21"/>
        </w:rPr>
        <w:t>Paired Wilcoxon (PPO vs. baselines, across tickers/folds):</w:t>
      </w:r>
    </w:p>
    <w:p>
      <w:pPr>
        <w:pStyle w:val="ListBullet"/>
      </w:pPr>
      <w:r>
        <w:t>ppo vs. buy_and_hold: p = 0.0021, n = 79 — statistically significant.</w:t>
      </w:r>
    </w:p>
    <w:p>
      <w:pPr>
        <w:pStyle w:val="ListBullet"/>
      </w:pPr>
      <w:r>
        <w:t>ppo vs. rule_based: p = 0.833, n = 77 — not significant.</w:t>
      </w:r>
    </w:p>
    <w:p>
      <w:pPr>
        <w:pStyle w:val="ListBullet"/>
      </w:pPr>
      <w:r>
        <w:t>ppo vs. llm_agent: p = 0.209, n = 79 — not significant. (llm_agent column source = mock; no GROQ_API_KEY configured — every decision came from the deterministic fallback, not a live model.)</w:t>
      </w:r>
    </w:p>
    <w:p>
      <w:pPr>
        <w:spacing w:after="160"/>
      </w:pPr>
      <w:r>
        <w:rPr>
          <w:b w:val="0"/>
          <w:i w:val="0"/>
          <w:sz w:val="21"/>
        </w:rPr>
        <w:t>Bootstrap Sharpe CI (95%, 2000 resamples), AAPL fold 0: 2020-era −1.253 [−2.446, −0.083] vs. 2026-era −3.324 [−4.519, −1.089] — both eras negative, the 2026 era measurably worse, and neither interval crosses into strongly positive territory.</w:t>
      </w:r>
    </w:p>
    <w:p>
      <w:pPr>
        <w:pStyle w:val="Heading2"/>
      </w:pPr>
      <w:r>
        <w:t>11.2 Phase 2 — Self-critique loop</w:t>
      </w:r>
    </w:p>
    <w:p>
      <w:pPr>
        <w:spacing w:after="160"/>
      </w:pPr>
      <w:r>
        <w:rPr>
          <w:b w:val="0"/>
          <w:i w:val="0"/>
          <w:sz w:val="21"/>
        </w:rPr>
        <w:t>Strategy-pool robustness test (3 good strategies, 2 deliberately poisoned):</w:t>
      </w:r>
    </w:p>
    <w:p>
      <w:pPr>
        <w:pStyle w:val="ListBullet"/>
      </w:pPr>
      <w:r>
        <w:t>Good strategies — mean weight 0.667</w:t>
      </w:r>
    </w:p>
    <w:p>
      <w:pPr>
        <w:pStyle w:val="ListBullet"/>
      </w:pPr>
      <w:r>
        <w:t>Poisoned strategies — mean weight 0.500</w:t>
      </w:r>
    </w:p>
    <w:p>
      <w:pPr>
        <w:pStyle w:val="ListBullet"/>
      </w:pPr>
      <w:r>
        <w:t>Down-weighted as expected: True</w:t>
      </w:r>
    </w:p>
    <w:p>
      <w:pPr>
        <w:spacing w:after="160"/>
      </w:pPr>
      <w:r>
        <w:rPr>
          <w:b w:val="0"/>
          <w:i w:val="0"/>
          <w:sz w:val="21"/>
        </w:rPr>
        <w:t>This is the direct evidence for the “self-critiquing” claim, and is confirmed by a fixed-seed regression test (tests/test_robustness.py), not just this one live run.</w:t>
      </w:r>
    </w:p>
    <w:p>
      <w:pPr>
        <w:spacing w:after="40"/>
      </w:pPr>
      <w:r>
        <w:rPr>
          <w:b/>
          <w:i w:val="0"/>
          <w:sz w:val="21"/>
        </w:rPr>
        <w:t>Ablation table (AAPL, seed 0, 100k timesteps/config):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Config</w:t>
            </w:r>
          </w:p>
        </w:tc>
        <w:tc>
          <w:tcPr>
            <w:tcW w:type="dxa" w:w="187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Final equity</w:t>
            </w:r>
          </w:p>
        </w:tc>
        <w:tc>
          <w:tcPr>
            <w:tcW w:type="dxa" w:w="144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Sharpe</w:t>
            </w:r>
          </w:p>
        </w:tc>
        <w:tc>
          <w:tcPr>
            <w:tcW w:type="dxa" w:w="144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Sortino</w:t>
            </w:r>
          </w:p>
        </w:tc>
        <w:tc>
          <w:tcPr>
            <w:tcW w:type="dxa" w:w="144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Max DD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phase1_baseline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10,341.03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1.121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1.160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−0.049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bc_only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10,305.07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1.057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0.916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−0.041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meta_only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10,108.26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0.491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0.354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−0.036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self_critique_only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10,933.09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3.151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3.807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−0.030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full_pipeline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10,036.27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0.266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0.184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−0.024</w:t>
            </w:r>
          </w:p>
        </w:tc>
      </w:tr>
    </w:tbl>
    <w:p/>
    <w:p>
      <w:pPr>
        <w:spacing w:after="160"/>
      </w:pPr>
      <w:r>
        <w:rPr>
          <w:b w:val="0"/>
          <w:i/>
          <w:sz w:val="21"/>
        </w:rPr>
        <w:t>Single seed, single ticker — one noisy observation, not the full statistical picture. Here, self_critique_only comes out best and full_pipeline comes out worst among the five configs, which is a real result at this scale but should not be read as “the full pipeline underperforms” — what this table verifies is narrower and already confirmed: closing each gap measurably changes learned behavior (no two rows match), which is exactly the claim tests/test_ablations.py regression-tests. Phase 1’s cross-seed (5), cross-ticker (9), cross-fold (9) walk-forward comparison in Section 11.1 is the rigorous evidence for overall performance, not this table.</w:t>
      </w:r>
    </w:p>
    <w:p>
      <w:pPr>
        <w:pStyle w:val="Heading2"/>
      </w:pPr>
      <w:r>
        <w:t>11.3 Phase 4 — Mixture of experts</w:t>
      </w:r>
    </w:p>
    <w:p>
      <w:pPr>
        <w:pStyle w:val="ListBullet"/>
      </w:pPr>
      <w:r>
        <w:t>Calm-regime training segments: 9 (lengths 10–181 days)</w:t>
      </w:r>
    </w:p>
    <w:p>
      <w:pPr>
        <w:pStyle w:val="ListBullet"/>
      </w:pPr>
      <w:r>
        <w:t>Stress-regime training segments: 3 (lengths 14–19 days) — thin, real overfitting risk</w:t>
      </w:r>
    </w:p>
    <w:p>
      <w:pPr>
        <w:pStyle w:val="ListBullet"/>
      </w:pPr>
      <w:r>
        <w:t>Regime-gate accuracy vs. causal threshold labels, held-out test data: 0.884 (n = 398)</w:t>
      </w:r>
    </w:p>
    <w:p>
      <w:pPr>
        <w:pStyle w:val="ListBullet"/>
      </w:pPr>
      <w:r>
        <w:t>MoE final equity: 9,486.06 (gate used “calm” for 397/397 test steps) vs. single-policy baseline: 10,700.32</w:t>
      </w:r>
    </w:p>
    <w:p>
      <w:pPr>
        <w:spacing w:after="40"/>
      </w:pPr>
      <w:r>
        <w:rPr>
          <w:b/>
          <w:i w:val="0"/>
          <w:sz w:val="21"/>
        </w:rPr>
        <w:t>Per-regime metrics, held-out test window (AAPL, 2022-06 to 2024-01):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MoE / regime</w:t>
            </w:r>
          </w:p>
        </w:tc>
        <w:tc>
          <w:tcPr>
            <w:tcW w:type="dxa" w:w="158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Sharpe</w:t>
            </w:r>
          </w:p>
        </w:tc>
        <w:tc>
          <w:tcPr>
            <w:tcW w:type="dxa" w:w="216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Sortino</w:t>
            </w:r>
          </w:p>
        </w:tc>
        <w:tc>
          <w:tcPr>
            <w:tcW w:type="dxa" w:w="144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Max DD</w:t>
            </w:r>
          </w:p>
        </w:tc>
        <w:tc>
          <w:tcPr>
            <w:tcW w:type="dxa" w:w="172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n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−0.141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−0.132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−0.218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calm_bull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0.119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0.114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−0.168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bear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−3.444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−2.864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−0.082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34 (small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crisis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−11.225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&lt;−0.001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 (small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volatile_bull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7.108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3.9M (artifact)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&lt;−0.001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 (small n)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Baseline / regime</w:t>
            </w:r>
          </w:p>
        </w:tc>
        <w:tc>
          <w:tcPr>
            <w:tcW w:type="dxa" w:w="158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Sharpe</w:t>
            </w:r>
          </w:p>
        </w:tc>
        <w:tc>
          <w:tcPr>
            <w:tcW w:type="dxa" w:w="158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Sortino</w:t>
            </w:r>
          </w:p>
        </w:tc>
        <w:tc>
          <w:tcPr>
            <w:tcW w:type="dxa" w:w="144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Max DD</w:t>
            </w:r>
          </w:p>
        </w:tc>
        <w:tc>
          <w:tcPr>
            <w:tcW w:type="dxa" w:w="172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n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0.337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0.352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−0.169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397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calm_bull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1.076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1.235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−0.066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bear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−2.702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−3.327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−0.152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34 (small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crisis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−11.225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n/a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−0.037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 (small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volatile_bull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1.429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0.925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−0.022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 (small n)</w:t>
            </w:r>
          </w:p>
        </w:tc>
      </w:tr>
    </w:tbl>
    <w:p/>
    <w:p>
      <w:pPr>
        <w:spacing w:after="160"/>
      </w:pPr>
      <w:r>
        <w:rPr>
          <w:b w:val="0"/>
          <w:i/>
          <w:sz w:val="21"/>
        </w:rPr>
        <w:t>The gate is fit on the training split only and never sees the true regime label at evaluation time — structurally enforced (tests/test_moe.py), not just stated. Read the equity gap above as one noisy comparison, not strong evidence either way: every regime row except calm_bull is small-sample (≤34 days), and the volatile_bull Sortino value (3.9M) is a numerical artifact of near-zero downside deviation over just 10 days, not a real signal.</w:t>
      </w:r>
    </w:p>
    <w:p>
      <w:pPr>
        <w:pStyle w:val="Heading2"/>
      </w:pPr>
      <w:r>
        <w:t>11.4 Phase 8 — Live paper-trading forward test (New in v2, stretch)</w:t>
      </w:r>
    </w:p>
    <w:p>
      <w:pPr>
        <w:spacing w:after="160"/>
      </w:pPr>
      <w:r>
        <w:rPr>
          <w:b w:val="0"/>
          <w:i w:val="0"/>
          <w:sz w:val="21"/>
        </w:rPr>
        <w:t>Not present in v1 at all, and no longer just “future work” as of this writing: a frozen, previously-trained policy connected to a real Alpaca paper-trading account (simulated money, real market data, a real broker accepting real orders) and made a live decision on data it had zero opportunity to have seen during development — the strongest available evidence against look-ahead leakage.</w:t>
      </w:r>
    </w:p>
    <w:p>
      <w:pPr>
        <w:pStyle w:val="ListBullet"/>
      </w:pPr>
      <w:r>
        <w:t>Architecture (scaata/live/): alpaca_broker.py wraps Alpaca’s paper-trading API with the same mock-fallback/source-tagging convention as the LLM baseline (Section 9) — every function returns a (result, source) pair, source ∈ {"live", "mock"}. paper=True is hardcoded, not a caller-supplied option, so no code path in this module can touch real capital. forward_test.py trains a policy once, freezes it to disk, and makes one decision per call, appending a permanent row to a CSV log.</w:t>
      </w:r>
    </w:p>
    <w:p>
      <w:pPr>
        <w:pStyle w:val="ListBullet"/>
      </w:pPr>
      <w:r>
        <w:t>Idempotency guard: once a real (source="live") decision is placed for a ticker on a given US market day, every further call that same day is a no-op returning the existing decision, rather than submitting a second real order (verified live and by tests/test_forward_test.py — this closes a real bug found during testing, where re-running the notebook twice in one day submitted two independent sell orders).</w:t>
      </w:r>
    </w:p>
    <w:p>
      <w:pPr>
        <w:pStyle w:val="ListBullet"/>
      </w:pPr>
      <w:r>
        <w:t>Live result on record: AAPL, decided “sell” at a close of $327.66; Alpaca accepted the order (order_id 87904a3d-…, status ACCEPTED) against a real paper account (equity/cash $100,000, matching the Alpaca dashboard exactly). All four source fields (data/order/account/overall) tagged “live”.</w:t>
      </w:r>
    </w:p>
    <w:p>
      <w:pPr>
        <w:pStyle w:val="ListBullet"/>
      </w:pPr>
      <w:r>
        <w:t>A market-data subscription issue was found and fixed during setup: Alpaca’s default data feed (SIP) requires a paid plan; free accounts must request the IEX feed explicitly for recent bars — now hardcoded in get_latest_daily_bars.</w:t>
      </w:r>
    </w:p>
    <w:p>
      <w:pPr>
        <w:pStyle w:val="ListBullet"/>
      </w:pPr>
      <w:r>
        <w:t>This is a track record, not a single measurement: the CSV log accumulates one row per real trading day. Report the accumulated log — win rate, cumulative equity, days logged — as of whenever the paper is written, and state that date explicitly, since the evidence strengthens the longer it runs.</w:t>
      </w:r>
    </w:p>
    <w:p>
      <w:pPr>
        <w:pStyle w:val="Heading1"/>
      </w:pPr>
      <w:r>
        <w:t>12. Real vs. Mock Status, Per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58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4896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1 — Data, regimes, baselines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Core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Real, full-scale, complete (9 tickers × 9 folds × 5 seeds × 100k timesteps).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2 — Inner loop + closed gaps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Core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Mechanism real &amp; tested. Strategy pool = 3 mock strategies (no GitHub/Groq key). Ablation table complete (single-seed/single-ticker by design — see Section 11.2).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3 — 3rd eye sentiment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Core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Query/alignment logic real &amp; tested. Sentiment data itself: mock (GDELT blocked from this sandbox). Narrative: template fallback (no Groq key).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4 — Mixture of experts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Stretch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Gate mechanism real &amp; tested. Small stress-expert sample (3 segments) — read as illustrative, not a validated performance claim. Backtest complete (Section 11.3).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5 — Research rigor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Core deliverable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Threats-to-validity document: real, complete. Monolithic-vs-decomposed comparison: harness real &amp; tested, but running on a mock LLM weight (no Groq key).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8 — Live paper-trading forward test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Stretch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Real and live. Connected to a real Alpaca paper account; a frozen policy has placed real, broker-accepted orders (Section 11.4). No longer future work.</w:t>
            </w:r>
          </w:p>
        </w:tc>
      </w:tr>
    </w:tbl>
    <w:p/>
    <w:p>
      <w:pPr>
        <w:pStyle w:val="Heading1"/>
      </w:pPr>
      <w:r>
        <w:t>13. Novelty Framing — How to State This in the Paper</w:t>
      </w:r>
    </w:p>
    <w:p>
      <w:pPr>
        <w:spacing w:after="160"/>
      </w:pPr>
      <w:r>
        <w:rPr>
          <w:b/>
          <w:i w:val="0"/>
          <w:sz w:val="21"/>
        </w:rPr>
        <w:t>This is the most important section for protecting the paper’s central claim. State it precisely, in this order:</w:t>
      </w:r>
    </w:p>
    <w:p>
      <w:pPr>
        <w:pStyle w:val="ListBullet"/>
      </w:pPr>
      <w:r>
        <w:t>The v1 paper’s eq. 4 names three penalties by role only — “λ_dd, λ_vol, and λ_hold penalize drawdown extension, volatility-chasing entry, and prolonged negative-PnL holding, respectively” — and gives no closed-form definition for any of them. There is no original equation to reproduce.</w:t>
      </w:r>
    </w:p>
    <w:p>
      <w:pPr>
        <w:pStyle w:val="ListBullet"/>
      </w:pPr>
      <w:r>
        <w:t>The concrete formulas in scaata/rl/reward.py (drawdown_penalty, volatility_chasing_penalty, holding_time_penalty) are this rebuild’s own operationalization of that prose. This is a documented design choice, not a claimed rediscovery, and it should be stated as such in the methodology section.</w:t>
      </w:r>
    </w:p>
    <w:p>
      <w:pPr>
        <w:pStyle w:val="ListBullet"/>
      </w:pPr>
      <w:r>
        <w:t>This does NOT weaken the paper’s actual novelty. The defensible, tested contribution is the closed loop itself: trajectory-level, rolling-window critique feeding a strategy-pool reweighting mechanism into a BC-bootstrapped, meta-selector-informed RL policy — wired end-to-end and regression-tested. The original v1 code never did this despite the paper describing it; this rebuild is the first version where it is real and verifiable.</w:t>
      </w:r>
    </w:p>
    <w:p>
      <w:pPr>
        <w:pStyle w:val="ListBullet"/>
      </w:pPr>
      <w:r>
        <w:t>Individual risk-shaped reward terms are not claimed as novel in isolation — comparable techniques exist in quant-RL (e.g., Moody &amp; Saffell’s differential Sharpe ratio). Do not present the drawdown/volatility/holding-time penalties as the paper’s novelty; present the closed loop and its integration with imitation learning and meta-strategy selection as the novelty.</w:t>
      </w:r>
    </w:p>
    <w:p>
      <w:pPr>
        <w:pStyle w:val="ListBullet"/>
      </w:pPr>
      <w:r>
        <w:t>Recommended one-sentence framing for the paper’s contribution statement: “We identify a concrete implementation gap between the described self-critique mechanism and the original system’s actual code, and provide the first working, end-to-end-tested closed loop connecting trajectory-level critique, strategy-pool reweighting, and policy fine-tuning.”</w:t>
      </w:r>
    </w:p>
    <w:p>
      <w:pPr>
        <w:pStyle w:val="Heading1"/>
      </w:pPr>
      <w:r>
        <w:t>14. Threats to Validity (Condensed)</w:t>
      </w:r>
    </w:p>
    <w:p>
      <w:pPr>
        <w:spacing w:after="160"/>
      </w:pPr>
      <w:r>
        <w:rPr>
          <w:b w:val="0"/>
          <w:i w:val="0"/>
          <w:sz w:val="21"/>
        </w:rPr>
        <w:t>Full text in docs/THREATS_TO_VALIDITY.md. Ten items, each with a stated mitigation and residual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664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5760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Mitigation (residual risk)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Survivorship bias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3 non-survivor tickers added (XOM, INTC, BABA). Residual: still a small, hand-picked universe.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Look-ahead bias in regime labeling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Strictly trailing windows, causal HMM decode; tested that a label at t is unchanged if the series is truncated after t. Residual: thresholds chosen by inspection, not pre-registered.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GDELT coverage drift 2020→2026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Coverage volume reported alongside every correlation. Residual: no coverage-normalized metric implemented.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GDELT entity-matching precision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Requires market-context keyword co-occurrence. Residual: untested against real query results (GDELT blocked here).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LLM non-determinism / version drift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Deterministic offline fallback at every call site; execute-to-validate for generated code. Residual: live-run content isn’t guaranteed reproducible — record model ID/date with any reported live number.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Phase 4 small-sample risk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Segment counts surfaced, not hidden. Residual: no fix applied — read as illustrative only.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Phase 4 oracle-leakage risk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Gate calls .predict() on features only; structurally cannot see the label (tests/test_moe.py). No residual risk beyond this.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Reproducibility &amp; data versioning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Per-ticker parquet caching preserves exact input data. Residual: cache is local/gitignored — archive it with any result requiring exact reproduction.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Reward formulas vs. paper’s eq. 4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Explicitly disclosed as operationalization, not rediscovery (see Section 13). No residual risk beyond what’s stated.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664"/>
          </w:tcPr>
          <w:p>
            <w:r/>
            <w:r>
              <w:rPr>
                <w:sz w:val="19"/>
              </w:rPr>
              <w:t>Ethics / public-data framing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Both data sources (yfinance, GDELT) are public, no private credentials. Keys read from gitignored .env, correcting v1’s hardcoded-credential exposure.</w:t>
            </w:r>
          </w:p>
        </w:tc>
      </w:tr>
    </w:tbl>
    <w:p/>
    <w:p>
      <w:pPr>
        <w:pStyle w:val="Heading1"/>
      </w:pPr>
      <w:r>
        <w:t>15. Future Work (Explicitly Deferred)</w:t>
      </w:r>
    </w:p>
    <w:p>
      <w:pPr>
        <w:spacing w:after="120"/>
      </w:pPr>
      <w:r>
        <w:rPr>
          <w:b w:val="0"/>
          <w:i w:val="0"/>
          <w:sz w:val="21"/>
        </w:rPr>
        <w:t>The live/paper-trading forward test that used to be listed here is done (Section 11.4) — it is no longer future work. What remains:</w:t>
      </w:r>
    </w:p>
    <w:p>
      <w:pPr>
        <w:pStyle w:val="ListBullet"/>
      </w:pPr>
      <w:r>
        <w:t>Live GDELT validation — needs a network where GDELT is not rate-limited (this project’s dev sandbox IP is blocked regardless of backoff strategy).</w:t>
      </w:r>
    </w:p>
    <w:p>
      <w:pPr>
        <w:pStyle w:val="ListBullet"/>
      </w:pPr>
      <w:r>
        <w:t>A live GROQ_API_KEY would upgrade three components from mock to real: the 3rd-eye narrative generator, the monolithic-vs-decomposed comparison, and the LLM-agent baseline.</w:t>
      </w:r>
    </w:p>
    <w:p>
      <w:pPr>
        <w:pStyle w:val="ListBullet"/>
      </w:pPr>
      <w:r>
        <w:t>Letting the Phase 8 forward-test log accumulate more real trading days before the paper is finalized — more days logged is directly stronger evidence, at zero additional engineering cost.</w:t>
      </w:r>
    </w:p>
    <w:p>
      <w:pPr>
        <w:pStyle w:val="Heading1"/>
      </w:pPr>
      <w:r>
        <w:t>16. Reference — Key Files &amp;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Claim</w:t>
            </w:r>
          </w:p>
        </w:tc>
        <w:tc>
          <w:tcPr>
            <w:tcW w:type="dxa" w:w="3312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2736"/>
            <w:shd w:val="clear" w:color="auto" w:fill="2f2f2f"/>
          </w:tcPr>
          <w:p>
            <w:r/>
            <w:r>
              <w:rPr>
                <w:b/>
                <w:color w:val="FFFFFF"/>
                <w:sz w:val="19"/>
              </w:rPr>
              <w:t>Test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Self-critique reward terms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scaata/rl/reward.py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tests/test_reward.py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BC weights loaded into policy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scaata/rl/policy_init.py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tests/test_policy_init.py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LangGraph inner loop + feedback edge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scaata/agents/graph.py, orchestrator.py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tests/test_agents_graph.py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Causal regime detection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scaata/regimes/detector.py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tests/test_regimes.py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Strategy-pool robustness / down-weighting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scaata/evaluation/robustness.py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tests/test_robustness.py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GDELT causal alignment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scaata/data/gdelt.py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tests/test_gdelt_alignment.py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MoE gate non-oracle / no label access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scaata/rl/moe/gating.py, moe_policy.py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tests/test_moe.py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LLM-agent baseline + source tagging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scaata/rl/llm_baseline.py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tests/test_llm_baseline.py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Monolithic-vs-decomposed comparison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scaata/evaluation/agent_comparison.py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tests/test_monolithic_comparison.py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Walk-forward splitting, no fold overlap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scaata/evaluation/walkforward.py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tests/test_walkforward.py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Alpaca broker mock-fallback + source tagging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scaata/live/alpaca_broker.py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tests/test_alpaca_broker.py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Live forward-test decision + same-day idempotency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scaata/live/forward_test.py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tests/test_forward_test.py</w:t>
            </w:r>
          </w:p>
        </w:tc>
      </w:tr>
    </w:tbl>
    <w:p/>
    <w:p>
      <w:pPr>
        <w:spacing w:after="160"/>
      </w:pPr>
      <w:r>
        <w:rPr>
          <w:b w:val="0"/>
          <w:i/>
          <w:sz w:val="19"/>
        </w:rPr>
        <w:t>End of reference document. 50 automated tests pass at the time of writing (pytest tests/ -v). See README.md for the always-current phase status table and running instructions.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