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SCAATA v2</w:t>
      </w:r>
    </w:p>
    <w:p>
      <w:pPr>
        <w:jc w:val="center"/>
      </w:pPr>
      <w:r>
        <w:rPr>
          <w:color w:val="505050"/>
          <w:sz w:val="27"/>
        </w:rPr>
        <w:t>PRD · TRD · Architecture &amp; Data Flow · Operational (UX) Sheet · Backend Schema</w:t>
      </w:r>
    </w:p>
    <w:p/>
    <w:p>
      <w:pPr>
        <w:spacing w:after="160"/>
      </w:pPr>
      <w:r>
        <w:rPr>
          <w:b w:val="0"/>
          <w:i w:val="0"/>
          <w:sz w:val="21"/>
        </w:rPr>
        <w:t>This is a companion document to SCAATA_v2_Modifications_Reference.docx. That document explains what changed and why, for the paper’s methodology/discussion sections. This one specs the system itself — requirements, technical constraints, architecture and data flow, how a person actually operates it, and its internal data schemas — for the paper’s system-description and implementation sections, and for your own reference while writing. Every field, module, and number below is drawn directly from the repository, not invented.</w:t>
      </w:r>
    </w:p>
    <w:p>
      <w:pPr>
        <w:spacing w:after="160"/>
      </w:pPr>
      <w:r>
        <w:rPr>
          <w:b w:val="0"/>
          <w:i/>
          <w:sz w:val="19"/>
        </w:rPr>
        <w:t>A note on adapting standard product-engineering documents to a research codebase: SCAATA has no end-user interface in the commercial-product sense — its “users” are a researcher running notebooks and a reviewer checking claims. Part 4 (“UX”) is written for that reality rather than forcing a consumer-app framing that would not fit.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b/>
          <w:color w:val="6A6A6A"/>
          <w:sz w:val="22"/>
        </w:rPr>
        <w:t>PART 1</w:t>
      </w:r>
    </w:p>
    <w:p>
      <w:r>
        <w:rPr>
          <w:b/>
          <w:sz w:val="40"/>
        </w:rPr>
        <w:t>Product Requirements Document (PRD)</w:t>
      </w:r>
    </w:p>
    <w:p>
      <w:r>
        <w:rPr>
          <w:i/>
          <w:color w:val="707070"/>
          <w:sz w:val="22"/>
        </w:rPr>
        <w:t>What SCAATA v2 is for, who it is for, and how success is judged</w:t>
      </w:r>
    </w:p>
    <w:p/>
    <w:p>
      <w:pPr>
        <w:pStyle w:val="Heading1"/>
      </w:pPr>
      <w:r>
        <w:t>1.1 Purpose</w:t>
      </w:r>
    </w:p>
    <w:p>
      <w:pPr>
        <w:spacing w:after="160"/>
      </w:pPr>
      <w:r>
        <w:rPr>
          <w:b w:val="0"/>
          <w:i w:val="0"/>
          <w:sz w:val="21"/>
        </w:rPr>
        <w:t>SCAATA v2 is a research artifact, not a commercial product: a reproducible, honestly-scoped multi-agent reinforcement-learning trading pipeline, rebuilt to (a) close a documented implementation gap between the original v1 paper and its actual code, and (b) supply the tested evidence base for a publishable research paper.</w:t>
      </w:r>
    </w:p>
    <w:p>
      <w:pPr>
        <w:pStyle w:val="Heading1"/>
      </w:pPr>
      <w:r>
        <w:t>1.2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6768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What they need from this system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Researcher (paper author)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A working, extensible pipeline to run experiments and gather evidence; confidence that a claim in the paper is backed by passing code, not just prose.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Reviewer / advisor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A fast way to verify what is real vs. mock/placeholder, without reading every line of code — met by the README, notebook status banners, and the published findings dashboard.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End trading user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Explicitly out of scope — see 1.4. No one trades real money through this system.</w:t>
            </w:r>
          </w:p>
        </w:tc>
      </w:tr>
    </w:tbl>
    <w:p/>
    <w:p>
      <w:pPr>
        <w:pStyle w:val="Heading1"/>
      </w:pPr>
      <w:r>
        <w:t>1.3 Problem Statement</w:t>
      </w:r>
    </w:p>
    <w:p>
      <w:pPr>
        <w:spacing w:after="160"/>
      </w:pPr>
      <w:r>
        <w:rPr>
          <w:b w:val="0"/>
          <w:i w:val="0"/>
          <w:sz w:val="21"/>
        </w:rPr>
        <w:t>The v1 notebook trained a behavior-cloning model and a meta-strategy-selector, and its paper describes a self-critique loop reshaping the RL reward from realized risk — but the BC model and meta-selector were never reloaded after training, and the reward was just “%change × 10” plus a stop-loss penalty. The mechanism the paper is named for did not exist in the code that produced its results.</w:t>
      </w:r>
    </w:p>
    <w:p>
      <w:pPr>
        <w:pStyle w:val="Heading1"/>
      </w:pPr>
      <w:r>
        <w:t>1.4 Goals &amp;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4032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Success criterion</w:t>
            </w:r>
          </w:p>
        </w:tc>
        <w:tc>
          <w:tcPr>
            <w:tcW w:type="dxa" w:w="2592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G1 — Close the 3 wiring gaps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Regression tests exist and pass for each fix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Met — tests/test_reward.py, tests/test_policy_init.py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G2 — Reduce survivorship bias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Ticker set includes names with a genuinely rough multi-year stretch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Met — 3 non-survivor tickers added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G3 — Rigorous statistics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Bootstrap CI + paired significance test + multi-seed variance, not a single point estimate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Met — 5 seeds, Wilcoxon, 2000-resample bootstrap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G4 — At least one new evaluation axis beyond v1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 genuinely new comparison or signal, not a cosmetic addition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Met — sentiment module, MoE variant, LLM-agent baseline (sentiment/MoE numbers carry explicit caveats)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G5 — Real-vs-mock status impossible to miss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Every notebook states its status in an unmissable banner; a project README exists as a front door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Met</w:t>
            </w:r>
          </w:p>
        </w:tc>
      </w:tr>
    </w:tbl>
    <w:p/>
    <w:p>
      <w:pPr>
        <w:pStyle w:val="Heading1"/>
      </w:pPr>
      <w:r>
        <w:t>1.5 Non-Goals (Explicit Scope Exclusions)</w:t>
      </w:r>
    </w:p>
    <w:p>
      <w:pPr>
        <w:pStyle w:val="ListBullet"/>
      </w:pPr>
      <w:r>
        <w:t>Not a live trading system — no brokerage integration, no real capital at risk, anywhere in this codebase.</w:t>
      </w:r>
    </w:p>
    <w:p>
      <w:pPr>
        <w:pStyle w:val="ListBullet"/>
      </w:pPr>
      <w:r>
        <w:t>Not claiming a market-beating headline result — Phase 1’s own significance tests show PPO beating buy-and-hold but not the rule-based or LLM-agent baselines; this is reported as-is.</w:t>
      </w:r>
    </w:p>
    <w:p>
      <w:pPr>
        <w:pStyle w:val="ListBullet"/>
      </w:pPr>
      <w:r>
        <w:t>Not claiming the 3rd-eye sentiment findings are real in this environment — GDELT is blocked from this sandbox, so all sentiment numbers produced so far are synthetic.</w:t>
      </w:r>
    </w:p>
    <w:p>
      <w:pPr>
        <w:pStyle w:val="ListBullet"/>
      </w:pPr>
      <w:r>
        <w:t>Not building a general-purpose product UI — the one dashboard produced is a research-findings summary, not an operational trading console.</w:t>
      </w:r>
    </w:p>
    <w:p>
      <w:pPr>
        <w:pStyle w:val="Heading1"/>
      </w:pPr>
      <w:r>
        <w:t>1.6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8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FR1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Pull daily OHLCV for 9 tickers, 2020-01-01 through the current date, with per-ticker caching and retry/backoff.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FR2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Label every trading day into one of 4 regimes (calm_bull / bear / volatile_bull / crisis) using only trailing information.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FR3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Backtest via rolling-origin walk-forward folds, not a single fixed split.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FR4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Compute self-critique reward penalties causally and add them to the PPO reward; load BC weights into the policy; feed meta-selector confidence into the observation.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FR5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Run a bounded multi-agent feedback loop (scrape → normalize → classify → select → critique → re-select) via LangGraph.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FR6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Ingest GDELT sentiment, score with FinBERT, correlate against returns/volatility, and generate a faithfulness-checked narrative — with a fully offline mock fallback at every step.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FR7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Train regime-specialist RL policies and route between them via a causal, non-oracle gate.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FR8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Provide a no-training LLM-agent-only baseline, with its data source (live vs. mock) tagged on every result.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FR9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Report bootstrap confidence intervals and paired significance tests alongside every headline comparison.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FR10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Maintain a written threats-to-validity document naming specific risks, mitigations, and residual risk.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FR11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Make one real, source-tagged trading decision per market day per ticker against a live paper-trading broker, using a policy frozen before that day so it cannot have seen the data it decides on; a second call the same day must not submit a second real order.</w:t>
            </w:r>
          </w:p>
        </w:tc>
      </w:tr>
    </w:tbl>
    <w:p/>
    <w:p>
      <w:pPr>
        <w:pStyle w:val="Heading1"/>
      </w:pPr>
      <w:r>
        <w:t>1.7 Acceptance Criteria</w:t>
      </w:r>
    </w:p>
    <w:p>
      <w:pPr>
        <w:pStyle w:val="ListBullet"/>
      </w:pPr>
      <w:r>
        <w:t>50 of 50 automated tests pass (pytest tests/ -v).</w:t>
      </w:r>
    </w:p>
    <w:p>
      <w:pPr>
        <w:pStyle w:val="ListBullet"/>
      </w:pPr>
      <w:r>
        <w:t>Every phase notebook executes end-to-end in both SMOKE_TEST=True (minutes) and SMOKE_TEST=False (hours) modes without errors.</w:t>
      </w:r>
    </w:p>
    <w:p>
      <w:pPr>
        <w:pStyle w:val="ListBullet"/>
      </w:pPr>
      <w:r>
        <w:t>Every “this is real” claim in the paper is traceable to a specific passing test, not just a code comment or design intent — see Part 5 / the Modifications Reference’s Section 16 for the mapping.</w:t>
      </w:r>
    </w:p>
    <w:p>
      <w:pPr>
        <w:pStyle w:val="ListBullet"/>
      </w:pPr>
      <w:r>
        <w:t>The Phase 8 live forward test has placed at least one broker-accepted order against a real paper account, confirmed by directly querying the broker (not just trusting the local log).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b/>
          <w:color w:val="6A6A6A"/>
          <w:sz w:val="22"/>
        </w:rPr>
        <w:t>PART 2</w:t>
      </w:r>
    </w:p>
    <w:p>
      <w:r>
        <w:rPr>
          <w:b/>
          <w:sz w:val="40"/>
        </w:rPr>
        <w:t>Technical Requirements Document (TRD)</w:t>
      </w:r>
    </w:p>
    <w:p>
      <w:r>
        <w:rPr>
          <w:i/>
          <w:color w:val="707070"/>
          <w:sz w:val="22"/>
        </w:rPr>
        <w:t>Stack, environment, compute budget, and non-functional requirements</w:t>
      </w:r>
    </w:p>
    <w:p/>
    <w:p>
      <w:pPr>
        <w:pStyle w:val="Heading1"/>
      </w:pPr>
      <w:r>
        <w:t>2.1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768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Language / runtime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Python 3.12, project-local virtual environment (.venv), registered Jupyter kernel name “scaata-venv”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RL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stable-baselines3 + sb3-contrib (RecurrentPPO, MlpLstmPolicy), gymnasium (custom RobustTradingEnv)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Multi-agent orchestration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LangGraph (StateGraph, conditional edges, bounded feedback cycle)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Classical ML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scikit-learn (LogisticRegression regime gate), hmmlearn (HMM regime cross-check)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NLP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transformers (ProsusAI/finbert, local inference), Groq API (llama-3.1-8b-instant) for strategy normalization / narrative generation / the LLM-agent baseline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Data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yfinance (market data), GDELT DOC 2.0 API (news), requests-based scraping of GitHub for candidate strategies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Statistics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scipy (Wilcoxon), statsmodels (Granger causality), custom block-bootstrap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Live paper trading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alpaca-py (Alpaca Trading API + Market Data API, paper=True hardcoded)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Plotting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matplotlib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Testing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pytest (50 tests across 13 files)</w:t>
            </w:r>
          </w:p>
        </w:tc>
      </w:tr>
    </w:tbl>
    <w:p/>
    <w:p>
      <w:pPr>
        <w:pStyle w:val="Heading1"/>
      </w:pPr>
      <w:r>
        <w:t>2.2 Data Requirements</w:t>
      </w:r>
    </w:p>
    <w:p>
      <w:pPr>
        <w:pStyle w:val="ListBullet"/>
      </w:pPr>
      <w:r>
        <w:t>All data sources are public and require no private/personal credentials, preserving the v1 paper’s “public data only” ethics stance.</w:t>
      </w:r>
    </w:p>
    <w:p>
      <w:pPr>
        <w:pStyle w:val="ListBullet"/>
      </w:pPr>
      <w:r>
        <w:t>Market data: yfinance OHLCV, 2020-01-01 to the current date, auto-adjusted, cached per-ticker as parquet in data_cache/ (gitignored).</w:t>
      </w:r>
    </w:p>
    <w:p>
      <w:pPr>
        <w:pStyle w:val="ListBullet"/>
      </w:pPr>
      <w:r>
        <w:t>News data: GDELT DOC 2.0, entity name + market-context keyword co-occurrence query, UTC timestamps realigned to US trading days.</w:t>
      </w:r>
    </w:p>
    <w:p>
      <w:pPr>
        <w:pStyle w:val="ListBullet"/>
      </w:pPr>
      <w:r>
        <w:t>Strategy source data: public GitHub repositories (via GITHUB_PAT if configured) or 3 built-in mock strategies otherwise.</w:t>
      </w:r>
    </w:p>
    <w:p>
      <w:pPr>
        <w:pStyle w:val="Heading1"/>
      </w:pPr>
      <w:r>
        <w:t>2.3 Compute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Workload</w:t>
            </w:r>
          </w:p>
        </w:tc>
        <w:tc>
          <w:tcPr>
            <w:tcW w:type="dxa" w:w="3312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Full-scale budget</w:t>
            </w:r>
          </w:p>
        </w:tc>
        <w:tc>
          <w:tcPr>
            <w:tcW w:type="dxa" w:w="3168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Observed wall-clock (reference machine)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Single PPO training run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100,000 timesteps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≈ 20 minutes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Phase 1 (walk-forward)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9 folds × 5 seeds = 45 trainings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≈ 15–17 hours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Phase 2 (ablation suite)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5 configs × 100k steps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≈ 100 minutes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Phase 4 (MoE)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2 experts + 1 baseline × 100k steps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≈ 60 minutes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Phase 8 (live decision)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1 decision (policy loaded from disk, not retrained)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&lt; 1 minute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Any notebook, smoke-test mode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~1,500–2,000 timesteps, 1 seed, ≤3 folds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minutes</w:t>
            </w:r>
          </w:p>
        </w:tc>
      </w:tr>
    </w:tbl>
    <w:p/>
    <w:p>
      <w:pPr>
        <w:spacing w:after="160"/>
      </w:pPr>
      <w:r>
        <w:rPr>
          <w:b w:val="0"/>
          <w:i/>
          <w:sz w:val="21"/>
        </w:rPr>
        <w:t>Every notebook defaults SMOKE_TEST appropriately for its context; flip it to run the full-scale version. There is no CI pipeline configured — tests and notebooks are run manually.</w:t>
      </w:r>
    </w:p>
    <w:p>
      <w:pPr>
        <w:pStyle w:val="Heading1"/>
      </w:pPr>
      <w:r>
        <w:t>2.4 Testing Requirements</w:t>
      </w:r>
    </w:p>
    <w:p>
      <w:pPr>
        <w:spacing w:after="160"/>
      </w:pPr>
      <w:r>
        <w:rPr>
          <w:b w:val="0"/>
          <w:i w:val="0"/>
          <w:sz w:val="21"/>
        </w:rPr>
        <w:t>50 tests across 13 files, run via pytest tests/ -v. Coverage areas: reward-shaping correctness, BC-weight-loading verification, LangGraph compilation/termination, regime-label causality, strategy-pool down-weighting (robustness), GDELT trading-day alignment, MoE gate label-blindness, LLM-baseline mock tagging, the monolithic-comparison harness, walk-forward fold non-overlap, Alpaca broker mock-fallback behavior, and the Phase 8 same-day order-idempotency guard.</w:t>
      </w:r>
    </w:p>
    <w:p>
      <w:pPr>
        <w:pStyle w:val="Heading1"/>
      </w:pPr>
      <w:r>
        <w:t>2.5 Non-Functional Requirements</w:t>
      </w:r>
    </w:p>
    <w:p>
      <w:pPr>
        <w:pStyle w:val="ListBullet"/>
      </w:pPr>
      <w:r>
        <w:t>Reproducibility: per-ticker data caching so a specific run’s input can be preserved; seeds are explicit, never implicit.</w:t>
      </w:r>
    </w:p>
    <w:p>
      <w:pPr>
        <w:pStyle w:val="ListBullet"/>
      </w:pPr>
      <w:r>
        <w:t>Transparency: every notebook must state its SMOKE_TEST / mock-data status in an unmissable banner; no result may be presented without its real-vs-mock provenance visible.</w:t>
      </w:r>
    </w:p>
    <w:p>
      <w:pPr>
        <w:pStyle w:val="ListBullet"/>
      </w:pPr>
      <w:r>
        <w:t>Leakage-safety: any component that assigns a regime label or routes based on regime (detector, HMM decode, sentiment alignment, MoE gate) must be causal / non-oracle, enforced by a specific test, not just a code comment.</w:t>
      </w:r>
    </w:p>
    <w:p>
      <w:pPr>
        <w:pStyle w:val="ListBullet"/>
      </w:pPr>
      <w:r>
        <w:t>Credential handling: API keys are read from a gitignored .env only, never hardcoded — corrects a credential-exposure issue found in the original v1 notebook.</w:t>
      </w:r>
    </w:p>
    <w:p>
      <w:pPr>
        <w:pStyle w:val="Heading1"/>
      </w:pPr>
      <w:r>
        <w:t>2.6 External Dependencies / API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360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Enables (if set)</w:t>
            </w:r>
          </w:p>
        </w:tc>
        <w:tc>
          <w:tcPr>
            <w:tcW w:type="dxa" w:w="4176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Fallback (if unset — current state)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GROQ_API_KEY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Live LLM strategy normalization, 3rd-eye narrative generation, LLM-agent baseline decisions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Deterministic offline fallback at every call site, tagged source=“mock”. Currently unset — every run so far is mock on these paths.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GITHUB_PAT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Live scraping of candidate trading strategies from public repositories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3 built-in mock strategies. Currently unset.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ALPACA_API_KEY / ALPACA_SECRET_KEY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Live paper-trading: real market data (IEX feed) and real, broker-accepted simulated-money orders (Phase 8)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Cached historical data stood in for live bars; orders logged as "accepted (mock, not submitted)" without contacting a broker. Currently set — Phase 8 runs live (see the Modifications Reference, Section 11.4).</w:t>
            </w:r>
          </w:p>
        </w:tc>
      </w:tr>
    </w:tbl>
    <w:p/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b/>
          <w:color w:val="6A6A6A"/>
          <w:sz w:val="22"/>
        </w:rPr>
        <w:t>PART 3</w:t>
      </w:r>
    </w:p>
    <w:p>
      <w:r>
        <w:rPr>
          <w:b/>
          <w:sz w:val="40"/>
        </w:rPr>
        <w:t>Architecture &amp; Data Flow</w:t>
      </w:r>
    </w:p>
    <w:p>
      <w:r>
        <w:rPr>
          <w:i/>
          <w:color w:val="707070"/>
          <w:sz w:val="22"/>
        </w:rPr>
        <w:t>Companion narrative to the published diagram — every numbered component’s inputs and outputs</w:t>
      </w:r>
    </w:p>
    <w:p/>
    <w:p>
      <w:pPr>
        <w:spacing w:after="160"/>
      </w:pPr>
      <w:r>
        <w:rPr>
          <w:b w:val="0"/>
          <w:i w:val="0"/>
          <w:sz w:val="21"/>
        </w:rPr>
        <w:t>The live, color-coded diagram is published at the architecture artifact link shared earlier in this project. This section is its textual companion: the exact input/output contract of every numbered component, suitable for adapting directly into a paper’s system-architecture section.</w:t>
      </w:r>
    </w:p>
    <w:p>
      <w:pPr>
        <w:pStyle w:val="Heading1"/>
      </w:pPr>
      <w:r>
        <w:t>3.1 Top-Level Data Flow</w:t>
      </w:r>
    </w:p>
    <w:p>
      <w:pPr>
        <w:spacing w:after="160"/>
      </w:pPr>
      <w:r>
        <w:rPr>
          <w:b w:val="0"/>
          <w:i w:val="0"/>
          <w:sz w:val="21"/>
        </w:rPr>
        <w:t>Researcher configures a run (ticker list, date range, SMOKE_TEST flag) → three external sources (Yahoo Finance, GitHub, GDELT) and, if configured, the Groq LLM API populate a shared knowledge base → the Outer Loop (RL training), Inner Loop (multi-agent strategy pipeline), and 3rd Eye (sentiment oversight) each read from and write back to that knowledge base independently → results return to the researcher as an evaluation report (metrics tables, plots, significance tests).</w:t>
      </w:r>
    </w:p>
    <w:p>
      <w:pPr>
        <w:pStyle w:val="Heading1"/>
      </w:pPr>
      <w:r>
        <w:t>3.2 Component 1 — Knowledge Base</w:t>
      </w:r>
    </w:p>
    <w:p>
      <w:pPr>
        <w:spacing w:after="160"/>
      </w:pPr>
      <w:r>
        <w:rPr>
          <w:b w:val="0"/>
          <w:i w:val="0"/>
          <w:sz w:val="21"/>
        </w:rPr>
        <w:t>A shared store (conceptual, not a literal database server) of strategy weights, regime labels, critique history, and trained model artifacts. Every other component reads from and/or writes to it, but none of the three subsystems below talk to each other directly.</w:t>
      </w:r>
    </w:p>
    <w:p>
      <w:pPr>
        <w:pStyle w:val="Heading1"/>
      </w:pPr>
      <w:r>
        <w:t>3.3 Component 2 — Outer Loop (Reinforcement-Learning Engine)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Node</w:t>
            </w:r>
          </w:p>
        </w:tc>
        <w:tc>
          <w:tcPr>
            <w:tcW w:type="dxa" w:w="360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360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2.1 Feature engineering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Raw OHLCV (Open, High, Low, Close, Volume per ticker/day)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7 technical features: returns, ma_10, ma_50, volatility, momentum, rsi, volume_ma_30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2.2 Regime detector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Featured OHLCV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Per-day regime label (calm_bull / bear / volatile_bull / crisis), causal (trailing windows only)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2.3 Regime gate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Featured OHLCV (Phase 4 only)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Live-predicted calm/stress routing decision, fit on train split only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2.4 / 2.5 Calm / stress expert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Regime-segmented training data (Phase 4 only)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 specialist RecurrentPPO policy per regime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2.6 Evaluator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Policy actions + realized prices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Per-regime Sharpe / Sortino / max-drawdown / turnover, bootstrap CIs, Wilcoxon significance vs. baselines</w:t>
            </w:r>
          </w:p>
        </w:tc>
      </w:tr>
    </w:tbl>
    <w:p/>
    <w:p>
      <w:pPr>
        <w:pStyle w:val="Heading1"/>
      </w:pPr>
      <w:r>
        <w:t>3.4 Component 3 — Inner Loop (Multi-Agent Strategy Pipeline)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Node</w:t>
            </w:r>
          </w:p>
        </w:tc>
        <w:tc>
          <w:tcPr>
            <w:tcW w:type="dxa" w:w="360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360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3.1 Strategy scraper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GitHub search (or 3 mock strategies if no GITHUB_PAT)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Raw candidate strategy source code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3.2 LLM normalizer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Raw strategy code + Groq LLM (or deterministic mock)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Validated, executable strategy functions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3.3 Strategy pool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Normalized strategies run against market data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Per-strategy signal arrays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3.4 Meta-selector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Strategy signals + realized performance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 softmax weight per strategy (strategy_weight_matrix) and a confidence feature fed to the RL agent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3.5 Critique agent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Strategy pool weights + a rolling review window of realized PnL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 down-weighting adjustment fed back to 3.4 (the bounded feedback edge, ≤ 4 iterations)</w:t>
            </w:r>
          </w:p>
        </w:tc>
      </w:tr>
    </w:tbl>
    <w:p/>
    <w:p>
      <w:pPr>
        <w:pStyle w:val="Heading1"/>
      </w:pPr>
      <w:r>
        <w:t>3.5 Component 4 — 3rd Eye (Sentiment Oversight)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Node</w:t>
            </w:r>
          </w:p>
        </w:tc>
        <w:tc>
          <w:tcPr>
            <w:tcW w:type="dxa" w:w="360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360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4.1 GDELT ingestion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Entity name + market-context keyword query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Raw news documents with GDELT tone scores (synthetic in this environment — see 2.2)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4.2 FinBERT scorer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Document text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 second, locally-computed sentiment score per document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4.3 Correlator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Sentiment scores + realized returns/volatility, aligned to trading days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2020-era vs. 2026-era rolling correlation, with coverage volume reported alongside 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4.4 Granger test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Aligned sentiment/return time series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 lead-lag directional claim (does sentiment lead volatility, and by how many days)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4.5 Narrative generator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Correlator + Granger output + Groq LLM (or template fallback)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 grounded natural-language narrative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4.6 Faithfulness check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Narrative + the numbers it was given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 pass/fail judgment that the narrative’s claims are actually supported by the data</w:t>
            </w:r>
          </w:p>
        </w:tc>
      </w:tr>
    </w:tbl>
    <w:p/>
    <w:p>
      <w:pPr>
        <w:pStyle w:val="Heading1"/>
      </w:pPr>
      <w:r>
        <w:t>3.6 Cross-Cutting: The Self-Critique Feedback Loop</w:t>
      </w:r>
    </w:p>
    <w:p>
      <w:pPr>
        <w:spacing w:after="160"/>
      </w:pPr>
      <w:r>
        <w:rPr>
          <w:b w:val="0"/>
          <w:i w:val="0"/>
          <w:sz w:val="21"/>
        </w:rPr>
        <w:t>This is the mechanism the paper is named for, and the one v1 never actually wired in. Concretely: the Critique agent (3.5) computes a rolling-window penalty report; that report down-weights the Meta-selector’s (3.4) strategy pool weights; the updated weights change which strategies dominate the pool’s aggregate signal; that signal, plus the Meta-selector’s own confidence score, feeds into the Outer Loop’s RL observation and reward (2.1–2.6) — completing a real, closed, trajectory-level loop from critique to policy behavior.</w:t>
      </w:r>
    </w:p>
    <w:p>
      <w:pPr>
        <w:pStyle w:val="Heading1"/>
      </w:pPr>
      <w:r>
        <w:t>3.7 Addendum: Phase 8 Live Forward Test (Not on the Published Diagram)</w:t>
      </w:r>
    </w:p>
    <w:p>
      <w:pPr>
        <w:spacing w:after="160"/>
      </w:pPr>
      <w:r>
        <w:rPr>
          <w:b w:val="0"/>
          <w:i w:val="0"/>
          <w:sz w:val="21"/>
        </w:rPr>
        <w:t>Added after the architecture diagram was finalized, so it is documented here rather than as a 5th numbered component on the figure. A frozen copy of an Outer Loop policy (2.1–2.6) is loaded outside the diagram’s train/evaluate cycle entirely and asked, once per real trading day, for a live decision against a real broker (Alpaca, paper account) — the researcher’s own external system, not part of the Knowledge Base. The decision and its outcome are appended to a permanent log (scaata/live/forward_test.py), which is the actual evidence artifact, not a single run’s printed output.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b/>
          <w:color w:val="6A6A6A"/>
          <w:sz w:val="22"/>
        </w:rPr>
        <w:t>PART 4</w:t>
      </w:r>
    </w:p>
    <w:p>
      <w:r>
        <w:rPr>
          <w:b/>
          <w:sz w:val="40"/>
        </w:rPr>
        <w:t>Operational (“UX”) Sheet</w:t>
      </w:r>
    </w:p>
    <w:p>
      <w:r>
        <w:rPr>
          <w:i/>
          <w:color w:val="707070"/>
          <w:sz w:val="22"/>
        </w:rPr>
        <w:t>How a person actually interacts with this system — adapted for a research pipeline, not a consumer app</w:t>
      </w:r>
    </w:p>
    <w:p/>
    <w:p>
      <w:pPr>
        <w:pStyle w:val="Heading1"/>
      </w:pPr>
      <w:r>
        <w:t>4.1 Primary Interaction Surface</w:t>
      </w:r>
    </w:p>
    <w:p>
      <w:pPr>
        <w:spacing w:after="160"/>
      </w:pPr>
      <w:r>
        <w:rPr>
          <w:b w:val="0"/>
          <w:i w:val="0"/>
          <w:sz w:val="21"/>
        </w:rPr>
        <w:t>Five self-contained Jupyter notebooks in notebooks/, one per phase, each calling only the scaata/ package (logic never lives directly in a notebook cell, so it stays testable). This is the entire “UI” of the system — there is no separate web or desktop application.</w:t>
      </w:r>
    </w:p>
    <w:p>
      <w:pPr>
        <w:pStyle w:val="Heading1"/>
      </w:pPr>
      <w:r>
        <w:t>4.2 Configuration Controls (the system’s “settings”)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2592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Where</w:t>
            </w:r>
          </w:p>
        </w:tc>
        <w:tc>
          <w:tcPr>
            <w:tcW w:type="dxa" w:w="446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SMOKE_TEST (bool)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Top cell of every notebook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True → fast sanity run, minutes, 1 seed, reduced timesteps/folds. False → full-scale real run, hours, real seed/fold/timestep counts.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USE_MOCK_DATA (bool)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Phase 3 notebook only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True (default) → synthetic sentiment data. False → attempts a live GDELT pull (rate-limited from this environment).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GROQ_API_KEY (env var)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.env file (gitignored)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Present → live LLM calls for normalization / narrative / LLM-agent baseline. Absent (current state) → deterministic mock fallback, source-tagged.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GITHUB_PAT (env var)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.env file (gitignored)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Present → live strategy scraping. Absent (current state) → 3 built-in mock strategies.</w:t>
            </w:r>
          </w:p>
        </w:tc>
      </w:tr>
    </w:tbl>
    <w:p/>
    <w:p>
      <w:pPr>
        <w:pStyle w:val="Heading1"/>
      </w:pPr>
      <w:r>
        <w:t>4.3 Output Surfaces</w:t>
      </w:r>
    </w:p>
    <w:p>
      <w:pPr>
        <w:pStyle w:val="ListBullet"/>
      </w:pPr>
      <w:r>
        <w:t>Inline notebook outputs: printed metrics tables and matplotlib plots, cell by cell.</w:t>
      </w:r>
    </w:p>
    <w:p>
      <w:pPr>
        <w:pStyle w:val="ListBullet"/>
      </w:pPr>
      <w:r>
        <w:t>Status banners: a markdown cell at the top of every notebook stating, unmissably, what is real vs. mock for that specific run.</w:t>
      </w:r>
    </w:p>
    <w:p>
      <w:pPr>
        <w:pStyle w:val="ListBullet"/>
      </w:pPr>
      <w:r>
        <w:t>README.md: the project-level front door — one-paragraph contribution statement, a vocabulary decoder for the architecture diagram’s informal names, and a phase-by-phase status table.</w:t>
      </w:r>
    </w:p>
    <w:p>
      <w:pPr>
        <w:pStyle w:val="ListBullet"/>
      </w:pPr>
      <w:r>
        <w:t>The published findings dashboard: a standalone summary page built specifically so a non-technical stakeholder (advisor, reviewer) can see the core contribution, architecture, phase status, and key results without opening a notebook.</w:t>
      </w:r>
    </w:p>
    <w:p>
      <w:pPr>
        <w:pStyle w:val="Heading1"/>
      </w:pPr>
      <w:r>
        <w:t>4.4 Failure-Handling Behavior</w:t>
      </w:r>
    </w:p>
    <w:p>
      <w:pPr>
        <w:pStyle w:val="ListBullet"/>
      </w:pPr>
      <w:r>
        <w:t>A market-data pull failure raises DataDownloadError explicitly (after retry/backoff) rather than silently returning empty results.</w:t>
      </w:r>
    </w:p>
    <w:p>
      <w:pPr>
        <w:pStyle w:val="ListBullet"/>
      </w:pPr>
      <w:r>
        <w:t>Any LLM or external-API failure falls back to a deterministic mock path and tags the result’s source — a mock result can never be silently presented as a live finding.</w:t>
      </w:r>
    </w:p>
    <w:p>
      <w:pPr>
        <w:pStyle w:val="ListBullet"/>
      </w:pPr>
      <w:r>
        <w:t>The test suite functions as the “regression UX”: a wiring gap re-opening (e.g., BC weights silently no longer loading) surfaces as a failing test, not a silent behavior change a reader would have to notice on their own.</w:t>
      </w:r>
    </w:p>
    <w:p>
      <w:pPr>
        <w:pStyle w:val="Heading1"/>
      </w:pPr>
      <w:r>
        <w:t>4.5 Audiences</w:t>
      </w:r>
    </w:p>
    <w:p>
      <w:pPr>
        <w:spacing w:after="160"/>
      </w:pPr>
      <w:r>
        <w:rPr>
          <w:b w:val="0"/>
          <w:i w:val="0"/>
          <w:sz w:val="21"/>
        </w:rPr>
        <w:t>Two distinct audiences, deliberately served by different artifacts: the researcher extending the code (served by the notebooks, package docstrings, and this document’s Part 5) and the reviewer/advisor checking claims (served by README.md, the notebook status banners, and the published dashboard — none of which require reading source code).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b/>
          <w:color w:val="6A6A6A"/>
          <w:sz w:val="22"/>
        </w:rPr>
        <w:t>PART 5</w:t>
      </w:r>
    </w:p>
    <w:p>
      <w:r>
        <w:rPr>
          <w:b/>
          <w:sz w:val="40"/>
        </w:rPr>
        <w:t>Backend Schema</w:t>
      </w:r>
    </w:p>
    <w:p>
      <w:r>
        <w:rPr>
          <w:i/>
          <w:color w:val="707070"/>
          <w:sz w:val="22"/>
        </w:rPr>
        <w:t>Module map and the concrete data structures every phase reads or writes</w:t>
      </w:r>
    </w:p>
    <w:p/>
    <w:p>
      <w:pPr>
        <w:pStyle w:val="Heading1"/>
      </w:pPr>
      <w:r>
        <w:t>5.1 Package Module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590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scaata/config.py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All tunable constants: tickers, dates, feature columns, PPO hyperparameters, seeds, self-critique lambdas, LangGraph bounds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scaata/data/loaders.py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Per-ticker cached OHLCV download (yfinance)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scaata/data/gdelt.py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GDELT query construction + causal trading-day alignment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scaata/features/technical.py, normalize.py, sentiment.py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Technical indicators, train/test normalization, FinBERT scoring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scaata/regimes/detector.py, calendar_labels.py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Causal threshold + HMM regime labeling; macro-event chart annotations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scaata/strategies/scraper.py, normalizer.py, pool.py, meta_selector.py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Strategy sourcing, LLM normalization, signal-pool execution, meta-selector training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scaata/agents/state.py, graph.py, orchestrator.py, nodes/*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LangGraph shared state, StateGraph definition, and the 5 inner-loop node implementations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scaata/imitation/model.py, train.py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Behavior-cloning model and its training loop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scaata/rl/env.py, reward.py, policy_init.py, train.py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RobustTradingEnv (gymnasium), self-critique reward terms, BC-weight-into-policy loading, RecurrentPPO training/backtest helpers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scaata/rl/moe/gating.py, train_experts.py, moe_policy.py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Regime gate, specialist-expert training on contiguous segments, hard-gated inference wrapper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scaata/rl/llm_baseline.py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LLM-agent-only baseline with mock fallback + source tagging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scaata/evaluation/*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Metrics, regime reports, walk-forward splitting, bootstrap/Wilcoxon stats, ablation suite, robustness test, agent comparison, plotting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scaata/thirdeye/correlator.py, narrative.py, plots.py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Sentiment-vs-market correlation, Granger test, narrative generation + faithfulness check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scaata/live/alpaca_broker.py, forward_test.py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Alpaca paper-trading wrapper with mock fallback + source tagging; the Phase 8 daily-decision loop, frozen-policy persistence, and same-day order-idempotency guard</w:t>
            </w:r>
          </w:p>
        </w:tc>
      </w:tr>
    </w:tbl>
    <w:p/>
    <w:p>
      <w:pPr>
        <w:pStyle w:val="Heading1"/>
      </w:pPr>
      <w:r>
        <w:t>5.2 Config Schema (scaata/config.py) — Key Constants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type="dxa" w:w="302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312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ALL_TICKERS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9 tickers (6 core + 3 non-survivor)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Universe for Phase 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START_DATE / END_DATE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2020-01-01 / current date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Data pull range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returns, ma_10, ma_50, volatility, momentum, rsi, volume_ma_30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7 technical features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PPO_TOTAL_TIMESTEPS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100,000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Full-scale training budget per run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DEFAULT_SEEDS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[0, 1, 2, 3, 4]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5-seed Phase 1 sweep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DEFAULT_LAMBDA_DD / _VOL / _HOLD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1.0 / 0.5 / 0.5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Self-critique penalty weights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MAX_GRAPH_ITERATIONS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Bound on the LangGraph Critique↔Meta-Selector feedback cycle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WALKFORWARD_TRAIN_YEARS / _TEST_MONTHS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2.0 / 6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Walk-forward fold sizing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BOOTSTRAP_N_RESAMPLES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2,000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Block-bootstrap resample count</w:t>
            </w:r>
          </w:p>
        </w:tc>
      </w:tr>
    </w:tbl>
    <w:p/>
    <w:p>
      <w:pPr>
        <w:pStyle w:val="Heading1"/>
      </w:pPr>
      <w:r>
        <w:t>5.3 Shared State Schema — LangGraph AgentState (scaata/agents/state.py)</w:t>
      </w:r>
    </w:p>
    <w:p>
      <w:pPr>
        <w:spacing w:after="160"/>
      </w:pPr>
      <w:r>
        <w:rPr>
          <w:b w:val="0"/>
          <w:i w:val="0"/>
          <w:sz w:val="21"/>
        </w:rPr>
        <w:t>A TypedDict threaded through every inner-loop node; this is what makes the Critique → Meta-Selector feedback edge real executing code rather than a diagram arrow.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02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02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Set / updated by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train_df, feature_columns, review_window, max_iterations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DataFrame, list[str], int, int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Set once at graph invocation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raw_scripts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list[dict] — {source, code}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Scraper node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normalized_strategies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list[dict] — {source, clean_code}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Normalizer node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strategy_signals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list[dict] — {source, signals}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Strategy-pool execution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strategy_pool_weights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list[float]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Meta-selector, then revised by Critique node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regime_labels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pd.Series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Regime-classifier node (reuses Phase 1, no recompute)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bc_model, meta_model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trained model objects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Meta-selector node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strategy_weight_matrix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np.ndarray (n_states, K), softmax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Meta-selector node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critique_report, iteration, converged, history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dict, int, bool, list[dict]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Critique node — controls the bounded feedback loop and preserves a per-iteration audit trail</w:t>
            </w:r>
          </w:p>
        </w:tc>
      </w:tr>
    </w:tbl>
    <w:p/>
    <w:p>
      <w:pPr>
        <w:pStyle w:val="Heading1"/>
      </w:pPr>
      <w:r>
        <w:t>5.4 Phase 1 Result Schema — TickerFoldResult (scaata/evaluation/phase1_pipeline.py)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48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04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fold_id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Which walk-forward fold this result belongs 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ticker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str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Which ticker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equity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dict[str, array]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Equity curve per method: buy_and_hold, rule_based, llm_agent, ppo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actions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dict[str, array]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Per-step actions per method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sources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dict[str, str]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“real”/“mock” provenance per method where applicable (currently only llm_agent uses this)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regimes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pd.Series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Per-day regime label for this ticker/fold’s test window</w:t>
            </w:r>
          </w:p>
        </w:tc>
      </w:tr>
    </w:tbl>
    <w:p/>
    <w:p>
      <w:pPr>
        <w:pStyle w:val="Heading1"/>
      </w:pPr>
      <w:r>
        <w:t>5.5 RL Environment Schema — RobustTradingEnv (scaata/rl/env.py)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Space</w:t>
            </w:r>
          </w:p>
        </w:tc>
        <w:tc>
          <w:tcPr>
            <w:tcW w:type="dxa" w:w="648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Action space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gymnasium.spaces.Discrete(3) — sell / hold / buy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Observation space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gymnasium.spaces.Box(low=-inf, high=-inf, shape=(len(feature_columns),)) — 7-dim by default, 8-dim in Phase 2 with meta_confidence appended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Reward (base)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%change × 10, minus a stop-loss penalty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Reward (enable_self_critique=True)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Base reward minus drawdown_penalty, volatility_chasing_penalty, and holding_time_penalty (scaata/rl/reward.py), each computed causally from the trailing window only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Reward (meta_action_bonus_col set)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Additionally adds a small bonus when the chosen action agrees with the meta-selector’s top strategy for that step</w:t>
            </w:r>
          </w:p>
        </w:tc>
      </w:tr>
    </w:tbl>
    <w:p/>
    <w:p>
      <w:pPr>
        <w:pStyle w:val="Heading1"/>
      </w:pPr>
      <w:r>
        <w:t>5.6 External Data Schemas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6336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Schema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Raw OHLCV DataFrame (scaata/data/loaders.py)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Index: Date. Columns: Open, High, Low, Close, Volume, Ticker. Auto-adjusted (splits/dividends), per-ticker parquet-cached.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Featured DataFrame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Raw OHLCV + the 7 FEATURE_COLUMNS (returns, ma_10, ma_50, volatility, momentum, rsi, volume_ma_30); Phase 2 additionally appends meta_confidence.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Regime label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One of: calm_bull, bear, volatile_bull, crisis — a categorical pd.Series aligned to the featured DataFrame’s index.</w:t>
            </w:r>
          </w:p>
        </w:tc>
      </w:tr>
    </w:tbl>
    <w:p/>
    <w:p>
      <w:pPr>
        <w:pStyle w:val="Heading1"/>
      </w:pPr>
      <w:r>
        <w:t>5.7 Phase 8 Forward-Test Log Schema (forward_test/decision_log_&lt;TICKER&gt;.csv)</w:t>
      </w:r>
    </w:p>
    <w:p>
      <w:pPr>
        <w:spacing w:after="160"/>
      </w:pPr>
      <w:r>
        <w:rPr>
          <w:b w:val="0"/>
          <w:i w:val="0"/>
          <w:sz w:val="21"/>
        </w:rPr>
        <w:t>Append-only; one row per real decision call. This log, not any single run’s printed output, is the actual forward-test evidence artifact.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6336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timestamp_utc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When the decision was made, ISO 8601 UTC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action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buy / sell / hold, from the frozen policy’s .predict() output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close_price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The latest close price the decision was based 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order_id, order_status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The broker’s own order identifier and lifecycle status (e.g. OrderStatus.ACCEPTED) — "mock-order" / "accepted (mock, not submitted)" in mock mode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account_equity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Account equity at decision time, from the broker (or the mock $100,000 default)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data_source, order_source, account_source, overall_source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Each "live" or "mock" independently; overall_source is "live" only if all three are — the single field to filter on before treating a row as real evidence</w:t>
            </w:r>
          </w:p>
        </w:tc>
      </w:tr>
    </w:tbl>
    <w:p/>
    <w:p>
      <w:pPr>
        <w:spacing w:after="160"/>
      </w:pPr>
      <w:r>
        <w:rPr>
          <w:b w:val="0"/>
          <w:i/>
          <w:sz w:val="19"/>
        </w:rPr>
        <w:t>End of document. Cross-reference SCAATA_v2_Modifications_Reference.docx Section 16 for the full claim → implementation → test mapping.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