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Multimodal AI for Medical Imaging</w:t>
      </w:r>
    </w:p>
    <w:p>
      <w:pPr>
        <w:spacing w:after="400"/>
      </w:pPr>
      <w:r>
        <w:rPr>
          <w:color w:val="444444"/>
          <w:sz w:val="26"/>
          <w:szCs w:val="26"/>
        </w:rPr>
        <w:t xml:space="preserve">Chest X-Ray Şəkillərindən Pnevmoniya Aşkarlanması — Layihə Planı və Metodologiya</w:t>
      </w:r>
    </w:p>
    <w:p>
      <w:pPr>
        <w:pStyle w:val="Heading1"/>
        <w:spacing w:after="150" w:before="300"/>
      </w:pPr>
      <w:r>
        <w:t xml:space="preserve">1. Layihəyə Baxış</w:t>
      </w:r>
    </w:p>
    <w:p>
      <w:pPr>
        <w:spacing w:after="160"/>
      </w:pPr>
      <w:r>
        <w:t xml:space="preserve">Bu layihənin məqsədi, rentgen (X-Ray) şəkillərindən istifadə edərək pasiyentdə pnevmoniya olub-olmadığını aşkarlayan bir Deep Learning modeli qurmaqdır. Model, Transfer Learning texnikasından (ImageNet üzərində əvvəlcədən öyrədilmiş ResNet50 və ya EfficientNetB0 arxitekturaları) istifadə edir və Grad-CAM vasitəsilə öz qərarlarını görsəl olaraq izah edə bilir.</w:t>
      </w:r>
    </w:p>
    <w:p>
      <w:pPr>
        <w:spacing w:after="160"/>
      </w:pPr>
      <w:r>
        <w:t xml:space="preserve">Bu layihə iki səbəbdən dəyərlidir: birincisi, tibbi görüntü analizi sənayedə ən tələb olunan tətbiq sahələrindən biridir; ikincisi, Explainable AI (XAI) komponentinin (Grad-CAM) əlavə olunması, layihəni sadə bir "klassifikasiya" tapşırığından çıxarıb, real dünya tibbi AI sistemlərinin tələb etdiyi "şəffaflıq" standartına yaxınlaşdırır.</w:t>
      </w:r>
    </w:p>
    <w:p>
      <w:pPr>
        <w:pStyle w:val="Heading1"/>
        <w:spacing w:after="150" w:before="300"/>
      </w:pPr>
      <w:r>
        <w:t xml:space="preserve">2. Məqsəd və Uğur Kriteriyaları</w:t>
      </w:r>
    </w:p>
    <w:p>
      <w:pPr>
        <w:pStyle w:val="ListParagraph"/>
        <w:numPr>
          <w:ilvl w:val="0"/>
          <w:numId w:val="1"/>
        </w:numPr>
        <w:spacing w:after="100"/>
      </w:pPr>
      <w:r>
        <w:rPr>
          <w:b/>
          <w:bCs/>
        </w:rPr>
        <w:t xml:space="preserve">Əsas məqsəd: </w:t>
      </w:r>
      <w:r>
        <w:t xml:space="preserve">Rentgen şəklini NORMAL və ya PNEUMONIA sinifinə ayıran binar klassifikator qurmaq.</w:t>
      </w:r>
    </w:p>
    <w:p>
      <w:pPr>
        <w:pStyle w:val="ListParagraph"/>
        <w:numPr>
          <w:ilvl w:val="0"/>
          <w:numId w:val="1"/>
        </w:numPr>
        <w:spacing w:after="100"/>
      </w:pPr>
      <w:r>
        <w:rPr>
          <w:b/>
          <w:bCs/>
        </w:rPr>
        <w:t xml:space="preserve">İkinci məqsəd: </w:t>
      </w:r>
      <w:r>
        <w:t xml:space="preserve">Grad-CAM ilə modelin diqqət etdiyi ağciyər bölgələrini vizuallaşdırmaq.</w:t>
      </w:r>
    </w:p>
    <w:p>
      <w:pPr>
        <w:pStyle w:val="ListParagraph"/>
        <w:numPr>
          <w:ilvl w:val="0"/>
          <w:numId w:val="1"/>
        </w:numPr>
        <w:spacing w:after="100"/>
      </w:pPr>
      <w:r>
        <w:rPr>
          <w:b/>
          <w:bCs/>
        </w:rPr>
        <w:t xml:space="preserve">Uğur kriteriyası: </w:t>
      </w:r>
      <w:r>
        <w:t xml:space="preserve">Test dataseti üzərində ən azı 90% recall (pnevmoniyalı halların buraxılmaması klinik olaraq daha vacibdir) və 85%+ ümumi accuracy.</w:t>
      </w:r>
    </w:p>
    <w:p>
      <w:pPr>
        <w:pStyle w:val="Heading1"/>
        <w:spacing w:after="150" w:before="300"/>
      </w:pPr>
      <w:r>
        <w:t xml:space="preserve">3. Dataset</w:t>
      </w:r>
    </w:p>
    <w:p>
      <w:pPr>
        <w:pStyle w:val="ListParagraph"/>
        <w:numPr>
          <w:ilvl w:val="0"/>
          <w:numId w:val="1"/>
        </w:numPr>
        <w:spacing w:after="100"/>
      </w:pPr>
      <w:r>
        <w:rPr>
          <w:b/>
          <w:bCs/>
        </w:rPr>
        <w:t xml:space="preserve">Ad: </w:t>
      </w:r>
      <w:r>
        <w:t xml:space="preserve">Chest X-Ray Images (Pneumonia) — Kaggle (Paul Mooney).</w:t>
      </w:r>
    </w:p>
    <w:p>
      <w:pPr>
        <w:pStyle w:val="ListParagraph"/>
        <w:numPr>
          <w:ilvl w:val="0"/>
          <w:numId w:val="1"/>
        </w:numPr>
        <w:spacing w:after="100"/>
      </w:pPr>
      <w:r>
        <w:rPr>
          <w:b/>
          <w:bCs/>
        </w:rPr>
        <w:t xml:space="preserve">Tərkib: </w:t>
      </w:r>
      <w:r>
        <w:t xml:space="preserve">~5,863 rentgen şəkli, train/val/test olaraq bölünmüş, hər biri NORMAL və PNEUMONIA qovluqlarına ayrılmış.</w:t>
      </w:r>
    </w:p>
    <w:p>
      <w:pPr>
        <w:pStyle w:val="ListParagraph"/>
        <w:numPr>
          <w:ilvl w:val="0"/>
          <w:numId w:val="1"/>
        </w:numPr>
        <w:spacing w:after="100"/>
      </w:pPr>
      <w:r>
        <w:rPr>
          <w:b/>
          <w:bCs/>
        </w:rPr>
        <w:t xml:space="preserve">Çətinlik: </w:t>
      </w:r>
      <w:r>
        <w:t xml:space="preserve">Dataset dəngəsizdir — PNEUMONIA şəkilləri NORMAL-dan təxminən 3 dəfə çoxdur. Bu, class_weight tətbiqi ilə kompensasiya olunur (bax bölmə 5.3).</w:t>
      </w:r>
    </w:p>
    <w:p>
      <w:pPr>
        <w:pStyle w:val="Heading1"/>
        <w:spacing w:after="150" w:before="300"/>
      </w:pPr>
      <w:r>
        <w:t xml:space="preserve">4. Texnologiya Seçimi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shd w:fill="2F5496" w:val="clear"/>
          </w:tcPr>
          <w:p>
            <w:r>
              <w:rPr>
                <w:b/>
                <w:bCs/>
                <w:color w:val="FFFFFF"/>
              </w:rPr>
              <w:t xml:space="preserve">Komponent</w:t>
            </w:r>
          </w:p>
        </w:tc>
        <w:tc>
          <w:tcPr>
            <w:tcW w:type="dxa" w:w="7500"/>
            <w:shd w:fill="2F5496" w:val="clear"/>
          </w:tcPr>
          <w:p>
            <w:r>
              <w:rPr>
                <w:b/>
                <w:bCs/>
                <w:color w:val="FFFFFF"/>
              </w:rPr>
              <w:t xml:space="preserve">Seçim və Səbəb</w:t>
            </w:r>
          </w:p>
        </w:tc>
      </w:tr>
      <w:tr>
        <w:tc>
          <w:p>
            <w:r>
              <w:t xml:space="preserve">Backbone</w:t>
            </w:r>
          </w:p>
        </w:tc>
        <w:tc>
          <w:p>
            <w:r>
              <w:t xml:space="preserve">ResNet50 / EfficientNetB0 (ImageNet çəkiləri ilə) — kiçik tibbi datasetlərdə sıfırdan öyrətmək overfitting riski daşıyır, transfer learning bunu azaldır.</w:t>
            </w:r>
          </w:p>
        </w:tc>
      </w:tr>
      <w:tr>
        <w:tc>
          <w:p>
            <w:r>
              <w:t xml:space="preserve">Framework</w:t>
            </w:r>
          </w:p>
        </w:tc>
        <w:tc>
          <w:p>
            <w:r>
              <w:t xml:space="preserve">TensorFlow / Keras — tf.data pipeline, keras.applications və Keras funksional API ilə Grad-CAM inteqrasiyası rahatdır.</w:t>
            </w:r>
          </w:p>
        </w:tc>
      </w:tr>
      <w:tr>
        <w:tc>
          <w:p>
            <w:r>
              <w:t xml:space="preserve">İzahedicilik</w:t>
            </w:r>
          </w:p>
        </w:tc>
        <w:tc>
          <w:p>
            <w:r>
              <w:t xml:space="preserve">Grad-CAM — modelin son konvolüsiya qatının gradientlərindən istifadə edərək "diqqət xəritəsi" yaradır, radioloqa etibar üçün əsas verir.</w:t>
            </w:r>
          </w:p>
        </w:tc>
      </w:tr>
    </w:tbl>
    <w:p>
      <w:pPr>
        <w:spacing w:after="160"/>
      </w:pPr>
      <w:r>
        <w:t xml:space="preserve"/>
      </w:r>
    </w:p>
    <w:p>
      <w:pPr>
        <w:pStyle w:val="Heading1"/>
        <w:spacing w:after="150" w:before="300"/>
      </w:pPr>
      <w:r>
        <w:t xml:space="preserve">5. Metodologiya</w:t>
      </w:r>
    </w:p>
    <w:p>
      <w:pPr>
        <w:pStyle w:val="Heading2"/>
        <w:spacing w:after="120" w:before="250"/>
      </w:pPr>
      <w:r>
        <w:t xml:space="preserve">5.1. Data Hazırlığı</w:t>
      </w:r>
    </w:p>
    <w:p>
      <w:pPr>
        <w:pStyle w:val="ListParagraph"/>
        <w:numPr>
          <w:ilvl w:val="0"/>
          <w:numId w:val="1"/>
        </w:numPr>
        <w:spacing w:after="100"/>
      </w:pPr>
      <w:r>
        <w:t xml:space="preserve">Bütün şəkillər 224×224 ölçüsünə keçirilir (ResNet50/EfficientNet giriş tələbi).</w:t>
      </w:r>
    </w:p>
    <w:p>
      <w:pPr>
        <w:pStyle w:val="ListParagraph"/>
        <w:numPr>
          <w:ilvl w:val="0"/>
          <w:numId w:val="1"/>
        </w:numPr>
        <w:spacing w:after="100"/>
      </w:pPr>
      <w:r>
        <w:t xml:space="preserve">Piksel dəyərləri [0,1] aralığına normallaşdırılır.</w:t>
      </w:r>
    </w:p>
    <w:p>
      <w:pPr>
        <w:pStyle w:val="ListParagraph"/>
        <w:numPr>
          <w:ilvl w:val="0"/>
          <w:numId w:val="1"/>
        </w:numPr>
        <w:spacing w:after="100"/>
      </w:pPr>
      <w:r>
        <w:t xml:space="preserve">Yalnız TRAIN üzərində yüngül augmentation: kiçik rotasiya, zoom, kontrast dəyişikliyi (üfüqi/şaquli flip İSTİFADƏ OLUNMUR, çünki anatomik oriyentasiyanın dəyişməsi klinik mənanı poza bilər).</w:t>
      </w:r>
    </w:p>
    <w:p>
      <w:pPr>
        <w:pStyle w:val="Heading2"/>
        <w:spacing w:after="120" w:before="250"/>
      </w:pPr>
      <w:r>
        <w:t xml:space="preserve">5.2. Model Arxitekturası</w:t>
      </w:r>
    </w:p>
    <w:p>
      <w:pPr>
        <w:pStyle w:val="ListParagraph"/>
        <w:numPr>
          <w:ilvl w:val="0"/>
          <w:numId w:val="1"/>
        </w:numPr>
        <w:spacing w:after="100"/>
      </w:pPr>
      <w:r>
        <w:t xml:space="preserve">Giriş → Rescaling/Preprocess → Transfer Learning Backbone (dondurulmuş) → Global Average Pooling → Dropout → Dense(128, ReLU) → Dropout → Dense(1, Sigmoid).</w:t>
      </w:r>
    </w:p>
    <w:p>
      <w:pPr>
        <w:pStyle w:val="ListParagraph"/>
        <w:numPr>
          <w:ilvl w:val="0"/>
          <w:numId w:val="1"/>
        </w:numPr>
        <w:spacing w:after="100"/>
      </w:pPr>
      <w:r>
        <w:t xml:space="preserve">Sigmoid çıxışı [0,1] aralığında pnevmoniya ehtimalını verir.</w:t>
      </w:r>
    </w:p>
    <w:p>
      <w:pPr>
        <w:pStyle w:val="Heading2"/>
        <w:spacing w:after="120" w:before="250"/>
      </w:pPr>
      <w:r>
        <w:t xml:space="preserve">5.3. İki Mərhələli Təlim</w:t>
      </w:r>
    </w:p>
    <w:p>
      <w:pPr>
        <w:pStyle w:val="ListParagraph"/>
        <w:numPr>
          <w:ilvl w:val="0"/>
          <w:numId w:val="1"/>
        </w:numPr>
        <w:spacing w:after="100"/>
      </w:pPr>
      <w:r>
        <w:rPr>
          <w:b/>
          <w:bCs/>
        </w:rPr>
        <w:t xml:space="preserve">Mərhələ 1 (Head təlimi): </w:t>
      </w:r>
      <w:r>
        <w:t xml:space="preserve">Backbone tamamilə dondurulur, yalnız yeni əlavə olunan Dense qatları öyrədilir. Learning rate: 1e-3.</w:t>
      </w:r>
    </w:p>
    <w:p>
      <w:pPr>
        <w:pStyle w:val="ListParagraph"/>
        <w:numPr>
          <w:ilvl w:val="0"/>
          <w:numId w:val="1"/>
        </w:numPr>
        <w:spacing w:after="100"/>
      </w:pPr>
      <w:r>
        <w:rPr>
          <w:b/>
          <w:bCs/>
        </w:rPr>
        <w:t xml:space="preserve">Mərhələ 2 (Fine-tuning): </w:t>
      </w:r>
      <w:r>
        <w:t xml:space="preserve">Backbone-un son ~30 qatı açılır və çox kiçik learning rate (1e-5) ilə bütün model bir az da tənzimlənir. Bu, modelin rentgen şəkillərinə spesifik uyğunlaşmasını təmin edir.</w:t>
      </w:r>
    </w:p>
    <w:p>
      <w:pPr>
        <w:pStyle w:val="ListParagraph"/>
        <w:numPr>
          <w:ilvl w:val="0"/>
          <w:numId w:val="1"/>
        </w:numPr>
        <w:spacing w:after="100"/>
      </w:pPr>
      <w:r>
        <w:rPr>
          <w:b/>
          <w:bCs/>
        </w:rPr>
        <w:t xml:space="preserve">Class balance: </w:t>
      </w:r>
      <w:r>
        <w:t xml:space="preserve">Dataset dəngəsizliyini kompensasiya etmək üçün class_weight hesablanır (az təmsil olunan sinifə daha yüksək çəki verilir), əks halda model "həmişə PNEUMONIA de" strategiyası ilə də yüksək accuracy göstərə bilər.</w:t>
      </w:r>
    </w:p>
    <w:p>
      <w:pPr>
        <w:pStyle w:val="Heading2"/>
        <w:spacing w:after="120" w:before="250"/>
      </w:pPr>
      <w:r>
        <w:t xml:space="preserve">5.4. Grad-CAM (Explainable AI)</w:t>
      </w:r>
    </w:p>
    <w:p>
      <w:pPr>
        <w:spacing w:after="160"/>
      </w:pPr>
      <w:r>
        <w:t xml:space="preserve">Grad-CAM, modelin son konvolüsiya qatındaki feature map-ləri, seçilmiş sinifə (PNEUMONIA) görə hesablanan gradientlərlə çəkərək bir istilik xəritəsi yaradır. Bu xəritə orijinal rentgen şəklinin üzərinə qoyulur və modelin "hara baxaraq" qərar verdiyini göstərir. Əgər model ağciyərin klinik olaraq mənasız bir hissəsinə (məsələn, şəklin künc artefaktına) baxaraq qərar veribsə, bu, modeldə problem olduğunun göstəricisidir — buna görə Grad-CAM sadəcə "gözəl vizual" deyil, model doğrulama vasitəsidir.</w:t>
      </w:r>
    </w:p>
    <w:p>
      <w:pPr>
        <w:pStyle w:val="Heading1"/>
        <w:spacing w:after="150" w:before="300"/>
      </w:pPr>
      <w:r>
        <w:t xml:space="preserve">6. Qiymətləndirmə Metrikaları</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00"/>
      </w:tblGrid>
      <w:tr>
        <w:tc>
          <w:tcPr>
            <w:tcW w:type="dxa" w:w="2200"/>
            <w:shd w:fill="2F5496" w:val="clear"/>
          </w:tcPr>
          <w:p>
            <w:r>
              <w:rPr>
                <w:b/>
                <w:bCs/>
                <w:color w:val="FFFFFF"/>
              </w:rPr>
              <w:t xml:space="preserve">Metrika</w:t>
            </w:r>
          </w:p>
        </w:tc>
        <w:tc>
          <w:tcPr>
            <w:tcW w:type="dxa" w:w="3600"/>
            <w:shd w:fill="2F5496" w:val="clear"/>
          </w:tcPr>
          <w:p>
            <w:r>
              <w:rPr>
                <w:b/>
                <w:bCs/>
                <w:color w:val="FFFFFF"/>
              </w:rPr>
              <w:t xml:space="preserve">Nə ölçür</w:t>
            </w:r>
          </w:p>
        </w:tc>
        <w:tc>
          <w:tcPr>
            <w:tcW w:type="dxa" w:w="4200"/>
            <w:shd w:fill="2F5496" w:val="clear"/>
          </w:tcPr>
          <w:p>
            <w:r>
              <w:rPr>
                <w:b/>
                <w:bCs/>
                <w:color w:val="FFFFFF"/>
              </w:rPr>
              <w:t xml:space="preserve">Niyə vacibdir</w:t>
            </w:r>
          </w:p>
        </w:tc>
      </w:tr>
      <w:tr>
        <w:tc>
          <w:tcPr>
            <w:tcW w:type="dxa" w:w="2200"/>
          </w:tcPr>
          <w:p>
            <w:r>
              <w:rPr>
                <w:b w:val="false"/>
                <w:bCs w:val="false"/>
              </w:rPr>
              <w:t xml:space="preserve">Recall (Sensitivity)</w:t>
            </w:r>
          </w:p>
        </w:tc>
        <w:tc>
          <w:tcPr>
            <w:tcW w:type="dxa" w:w="3600"/>
          </w:tcPr>
          <w:p>
            <w:r>
              <w:rPr>
                <w:b w:val="false"/>
                <w:bCs w:val="false"/>
              </w:rPr>
              <w:t xml:space="preserve">TP / (TP + FN)</w:t>
            </w:r>
          </w:p>
        </w:tc>
        <w:tc>
          <w:tcPr>
            <w:tcW w:type="dxa" w:w="4200"/>
          </w:tcPr>
          <w:p>
            <w:r>
              <w:rPr>
                <w:b w:val="false"/>
                <w:bCs w:val="false"/>
              </w:rPr>
              <w:t xml:space="preserve">Pnevmoniyalı hallardan neçəsi buraxılmayıb — tibbdə YANLIŞ MƏNFİ ən bahalı səhvdir.</w:t>
            </w:r>
          </w:p>
        </w:tc>
      </w:tr>
      <w:tr>
        <w:tc>
          <w:tcPr>
            <w:tcW w:type="dxa" w:w="2200"/>
          </w:tcPr>
          <w:p>
            <w:r>
              <w:rPr>
                <w:b w:val="false"/>
                <w:bCs w:val="false"/>
              </w:rPr>
              <w:t xml:space="preserve">Precision</w:t>
            </w:r>
          </w:p>
        </w:tc>
        <w:tc>
          <w:tcPr>
            <w:tcW w:type="dxa" w:w="3600"/>
          </w:tcPr>
          <w:p>
            <w:r>
              <w:rPr>
                <w:b w:val="false"/>
                <w:bCs w:val="false"/>
              </w:rPr>
              <w:t xml:space="preserve">TP / (TP + FP)</w:t>
            </w:r>
          </w:p>
        </w:tc>
        <w:tc>
          <w:tcPr>
            <w:tcW w:type="dxa" w:w="4200"/>
          </w:tcPr>
          <w:p>
            <w:r>
              <w:rPr>
                <w:b w:val="false"/>
                <w:bCs w:val="false"/>
              </w:rPr>
              <w:t xml:space="preserve">PNEUMONIA dediyi hallardan neçəsi doğrudan pnevmoniyadır.</w:t>
            </w:r>
          </w:p>
        </w:tc>
      </w:tr>
      <w:tr>
        <w:tc>
          <w:tcPr>
            <w:tcW w:type="dxa" w:w="2200"/>
          </w:tcPr>
          <w:p>
            <w:r>
              <w:rPr>
                <w:b w:val="false"/>
                <w:bCs w:val="false"/>
              </w:rPr>
              <w:t xml:space="preserve">AUC-ROC</w:t>
            </w:r>
          </w:p>
        </w:tc>
        <w:tc>
          <w:tcPr>
            <w:tcW w:type="dxa" w:w="3600"/>
          </w:tcPr>
          <w:p>
            <w:r>
              <w:rPr>
                <w:b w:val="false"/>
                <w:bCs w:val="false"/>
              </w:rPr>
              <w:t xml:space="preserve">ROC əyrisi altında sahə</w:t>
            </w:r>
          </w:p>
        </w:tc>
        <w:tc>
          <w:tcPr>
            <w:tcW w:type="dxa" w:w="4200"/>
          </w:tcPr>
          <w:p>
            <w:r>
              <w:rPr>
                <w:b w:val="false"/>
                <w:bCs w:val="false"/>
              </w:rPr>
              <w:t xml:space="preserve">Modelin ümumi ayırdetmə qabiliyyəti, threshold-dan asılı olmadan.</w:t>
            </w:r>
          </w:p>
        </w:tc>
      </w:tr>
      <w:tr>
        <w:tc>
          <w:tcPr>
            <w:tcW w:type="dxa" w:w="2200"/>
          </w:tcPr>
          <w:p>
            <w:r>
              <w:rPr>
                <w:b w:val="false"/>
                <w:bCs w:val="false"/>
              </w:rPr>
              <w:t xml:space="preserve">Accuracy</w:t>
            </w:r>
          </w:p>
        </w:tc>
        <w:tc>
          <w:tcPr>
            <w:tcW w:type="dxa" w:w="3600"/>
          </w:tcPr>
          <w:p>
            <w:r>
              <w:rPr>
                <w:b w:val="false"/>
                <w:bCs w:val="false"/>
              </w:rPr>
              <w:t xml:space="preserve">Düzgün / Ümumi</w:t>
            </w:r>
          </w:p>
        </w:tc>
        <w:tc>
          <w:tcPr>
            <w:tcW w:type="dxa" w:w="4200"/>
          </w:tcPr>
          <w:p>
            <w:r>
              <w:rPr>
                <w:b w:val="false"/>
                <w:bCs w:val="false"/>
              </w:rPr>
              <w:t xml:space="preserve">Ümumi performans, amma dəngəsiz datasetdə tək başına yanıldıcıdır.</w:t>
            </w:r>
          </w:p>
        </w:tc>
      </w:tr>
    </w:tbl>
    <w:p>
      <w:pPr>
        <w:spacing w:after="160"/>
      </w:pPr>
      <w:r>
        <w:t xml:space="preserve"/>
      </w:r>
    </w:p>
    <w:p>
      <w:pPr>
        <w:pStyle w:val="Heading1"/>
        <w:spacing w:after="150" w:before="300"/>
      </w:pPr>
      <w:r>
        <w:t xml:space="preserve">7. Layihə Fayl Strukturu</w:t>
      </w:r>
    </w:p>
    <w:p>
      <w:pPr>
        <w:pStyle w:val="ListParagraph"/>
        <w:numPr>
          <w:ilvl w:val="0"/>
          <w:numId w:val="1"/>
        </w:numPr>
        <w:spacing w:after="100"/>
      </w:pPr>
      <w:r>
        <w:t xml:space="preserve">config.py — hiperparametrlər və yollar</w:t>
      </w:r>
    </w:p>
    <w:p>
      <w:pPr>
        <w:pStyle w:val="ListParagraph"/>
        <w:numPr>
          <w:ilvl w:val="0"/>
          <w:numId w:val="1"/>
        </w:numPr>
        <w:spacing w:after="100"/>
      </w:pPr>
      <w:r>
        <w:t xml:space="preserve">data_pipeline.py — data yükləmə, augmentation, class balance</w:t>
      </w:r>
    </w:p>
    <w:p>
      <w:pPr>
        <w:pStyle w:val="ListParagraph"/>
        <w:numPr>
          <w:ilvl w:val="0"/>
          <w:numId w:val="1"/>
        </w:numPr>
        <w:spacing w:after="100"/>
      </w:pPr>
      <w:r>
        <w:t xml:space="preserve">model.py — transfer learning modelinin qurulması</w:t>
      </w:r>
    </w:p>
    <w:p>
      <w:pPr>
        <w:pStyle w:val="ListParagraph"/>
        <w:numPr>
          <w:ilvl w:val="0"/>
          <w:numId w:val="1"/>
        </w:numPr>
        <w:spacing w:after="100"/>
      </w:pPr>
      <w:r>
        <w:t xml:space="preserve">train.py — iki mərhələli təlim skripti</w:t>
      </w:r>
    </w:p>
    <w:p>
      <w:pPr>
        <w:pStyle w:val="ListParagraph"/>
        <w:numPr>
          <w:ilvl w:val="0"/>
          <w:numId w:val="1"/>
        </w:numPr>
        <w:spacing w:after="100"/>
      </w:pPr>
      <w:r>
        <w:t xml:space="preserve">gradcam.py — Grad-CAM (explainable AI) implementasiyası</w:t>
      </w:r>
    </w:p>
    <w:p>
      <w:pPr>
        <w:pStyle w:val="ListParagraph"/>
        <w:numPr>
          <w:ilvl w:val="0"/>
          <w:numId w:val="1"/>
        </w:numPr>
        <w:spacing w:after="100"/>
      </w:pPr>
      <w:r>
        <w:t xml:space="preserve">predict.py — tək şəkil üzərində inference və izah</w:t>
      </w:r>
    </w:p>
    <w:p>
      <w:pPr>
        <w:pStyle w:val="Heading1"/>
        <w:spacing w:after="150" w:before="300"/>
      </w:pPr>
      <w:r>
        <w:t xml:space="preserve">8. Növbəti Addımlar / Genişləndirmə İmkanları</w:t>
      </w:r>
    </w:p>
    <w:p>
      <w:pPr>
        <w:pStyle w:val="ListParagraph"/>
        <w:numPr>
          <w:ilvl w:val="0"/>
          <w:numId w:val="1"/>
        </w:numPr>
        <w:spacing w:after="100"/>
      </w:pPr>
      <w:r>
        <w:t xml:space="preserve">Multimodal genişləndirmə: rentgen şəklinə əlavə olaraq pasiyentin klinik məlumatlarını (yaş, simptomlar) da modelə vermək (tabular + image fusion).</w:t>
      </w:r>
    </w:p>
    <w:p>
      <w:pPr>
        <w:pStyle w:val="ListParagraph"/>
        <w:numPr>
          <w:ilvl w:val="0"/>
          <w:numId w:val="1"/>
        </w:numPr>
        <w:spacing w:after="100"/>
      </w:pPr>
      <w:r>
        <w:t xml:space="preserve">K-fold cross-validation ilə nəticələrin sabitliyini yoxlamaq.</w:t>
      </w:r>
    </w:p>
    <w:p>
      <w:pPr>
        <w:pStyle w:val="ListParagraph"/>
        <w:numPr>
          <w:ilvl w:val="0"/>
          <w:numId w:val="1"/>
        </w:numPr>
        <w:spacing w:after="100"/>
      </w:pPr>
      <w:r>
        <w:t xml:space="preserve">Model sıxılması (quantization) ilə mobil/edge cihazlarda işə salma imkanı.</w:t>
      </w:r>
    </w:p>
    <w:p>
      <w:pPr>
        <w:pStyle w:val="ListParagraph"/>
        <w:numPr>
          <w:ilvl w:val="0"/>
          <w:numId w:val="1"/>
        </w:numPr>
        <w:spacing w:after="100"/>
      </w:pPr>
      <w:r>
        <w:t xml:space="preserve">Streamlit/Gradio ilə sadə demo interfeysi qurmaq.</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2026-07-05T07:57:23.626Z</dcterms:created>
  <dcterms:modified xsi:type="dcterms:W3CDTF">2026-07-05T07:57:23.627Z</dcterms:modified>
</cp:coreProperties>
</file>

<file path=docProps/custom.xml><?xml version="1.0" encoding="utf-8"?>
<Properties xmlns="http://schemas.openxmlformats.org/officeDocument/2006/custom-properties" xmlns:vt="http://schemas.openxmlformats.org/officeDocument/2006/docPropsVTypes"/>
</file>