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Pr>
          <w:rFonts w:ascii="Arial" w:hAnsi="Arial" w:cs="Arial"/>
          <w:color w:val="000000" w:themeColor="text1"/>
        </w:rPr>
        <w:t>Business Summary Report: Predictive Insights for Collections Strategy</w:t>
      </w:r>
    </w:p>
    <w:p w14:paraId="2F4337BF" w14:textId="77777777" w:rsidR="007D72C2" w:rsidRPr="00A537D1" w:rsidRDefault="00A537D1">
      <w:pPr>
        <w:pStyle w:val="Heading1"/>
        <w:rPr>
          <w:rFonts w:ascii="Arial" w:hAnsi="Arial" w:cs="Arial"/>
          <w:color w:val="000000" w:themeColor="text1"/>
        </w:rPr>
      </w:pPr>
      <w:r>
        <w:rPr>
          <w:rFonts w:ascii="Arial" w:hAnsi="Arial" w:cs="Arial"/>
          <w:color w:val="000000" w:themeColor="text1"/>
        </w:rPr>
        <w:t>1. Summary of Predictive Insights</w:t>
      </w:r>
    </w:p>
    <w:p w14:paraId="40BE55F5" w14:textId="77777777" w:rsidR="007D72C2" w:rsidRPr="00A537D1" w:rsidRDefault="00A537D1">
      <w:pPr>
        <w:rPr>
          <w:rFonts w:ascii="Arial" w:hAnsi="Arial" w:cs="Arial"/>
          <w:color w:val="000000" w:themeColor="text1"/>
        </w:rPr>
      </w:pPr>
      <w:r>
        <w:rPr>
          <w:rFonts w:ascii="Arial" w:hAnsi="Arial" w:cs="Arial"/>
          <w:color w:val="000000" w:themeColor="text1"/>
        </w:rPr>
        <w:t>Briefly restate your model’s findings from Task 2. Focus on high-risk segments, key predictors of delinquency (e.g., missed payments, credit utilization), and any meaningful patterns the Collections team should be aware of.</w:t>
        <w:br/>
        <w:br/>
        <w:t>Tip: Use 2–3 bullet points or short paragraphs. Refer to the dataset and insights you uncovered.</w:t>
      </w:r>
    </w:p>
    <w:p w14:paraId="60F471FE" w14:textId="77777777" w:rsidR="007D72C2" w:rsidRDefault="00A537D1">
      <w:pPr>
        <w:rPr>
          <w:rFonts w:ascii="Arial" w:hAnsi="Arial" w:cs="Arial"/>
          <w:color w:val="000000" w:themeColor="text1"/>
        </w:rPr>
      </w:pPr>
      <w:r>
        <w:rPr>
          <w:rFonts w:ascii="Arial" w:hAnsi="Arial" w:cs="Arial"/>
          <w:color w:val="000000" w:themeColor="text1"/>
        </w:rPr>
        <w:t>Key Insights Summary</w:t>
      </w:r>
    </w:p>
    <w:tbl>
      <w:tblPr>
        <w:tblW w:w="5000" w:type="pct"/>
        <w:tblCellMar>
          <w:left w:w="30" w:type="dxa"/>
          <w:right w:w="30" w:type="dxa"/>
        </w:tblCellMar>
        <w:tblLook w:val="0000" w:firstRow="0" w:lastRow="0" w:firstColumn="0" w:lastColumn="0" w:noHBand="0" w:noVBand="0"/>
      </w:tblPr>
      <w:tblGrid>
        <w:gridCol w:w="1113"/>
        <w:gridCol w:w="1488"/>
        <w:gridCol w:w="3882"/>
        <w:gridCol w:w="2217"/>
      </w:tblGrid>
      <w:tr w:rsidR="00A537D1" w:rsidRPr="00A537D1" w14:paraId="36311A05" w14:textId="77777777" w:rsidTr="00A537D1">
        <w:tblPrEx>
          <w:tblCellMar>
            <w:top w:w="0" w:type="dxa"/>
            <w:bottom w:w="0" w:type="dxa"/>
          </w:tblCellMar>
        </w:tblPrEx>
        <w:trPr>
          <w:trHeight w:val="332"/>
        </w:trPr>
        <w:tc>
          <w:tcPr>
            <w:tcW w:w="640" w:type="pct"/>
            <w:tcBorders>
              <w:top w:val="single" w:sz="6" w:space="0" w:color="auto"/>
              <w:left w:val="single" w:sz="6" w:space="0" w:color="auto"/>
              <w:bottom w:val="single" w:sz="6" w:space="0" w:color="auto"/>
              <w:right w:val="single" w:sz="6" w:space="0" w:color="auto"/>
            </w:tcBorders>
          </w:tcPr>
          <w:p w14:paraId="0CD6A7EA" w14:textId="77777777" w:rsidR="00A537D1" w:rsidRPr="00A537D1" w:rsidRDefault="00A537D1" w:rsidP="00A537D1">
            <w:pPr>
              <w:rPr>
                <w:rFonts w:ascii="Arial" w:hAnsi="Arial" w:cs="Arial"/>
                <w:color w:val="000000" w:themeColor="text1"/>
                <w:sz w:val="20"/>
                <w:szCs w:val="20"/>
                <w:lang w:val="en-GB"/>
              </w:rPr>
            </w:pPr>
            <w:r>
              <w:rPr>
                <w:rFonts w:ascii="Arial" w:hAnsi="Arial" w:cs="Arial"/>
                <w:color w:val="000000" w:themeColor="text1"/>
                <w:sz w:val="20"/>
                <w:szCs w:val="20"/>
                <w:lang w:val="en-GB"/>
              </w:rPr>
              <w:t>Key Insight</w:t>
            </w:r>
          </w:p>
        </w:tc>
        <w:tc>
          <w:tcPr>
            <w:tcW w:w="855" w:type="pct"/>
            <w:tcBorders>
              <w:top w:val="single" w:sz="6" w:space="0" w:color="auto"/>
              <w:left w:val="single" w:sz="6" w:space="0" w:color="auto"/>
              <w:bottom w:val="single" w:sz="6" w:space="0" w:color="auto"/>
              <w:right w:val="single" w:sz="6" w:space="0" w:color="auto"/>
            </w:tcBorders>
          </w:tcPr>
          <w:p w14:paraId="21F469F1" w14:textId="77777777" w:rsidR="00A537D1" w:rsidRPr="00A537D1" w:rsidRDefault="00A537D1" w:rsidP="00A537D1">
            <w:pPr>
              <w:rPr>
                <w:rFonts w:ascii="Arial" w:hAnsi="Arial" w:cs="Arial"/>
                <w:color w:val="000000" w:themeColor="text1"/>
                <w:sz w:val="20"/>
                <w:szCs w:val="20"/>
                <w:lang w:val="en-GB"/>
              </w:rPr>
            </w:pPr>
            <w:r>
              <w:rPr>
                <w:rFonts w:ascii="Arial" w:hAnsi="Arial" w:cs="Arial"/>
                <w:color w:val="000000" w:themeColor="text1"/>
                <w:sz w:val="20"/>
                <w:szCs w:val="20"/>
                <w:lang w:val="en-GB"/>
              </w:rPr>
              <w:t>Customer Segment</w:t>
            </w:r>
          </w:p>
        </w:tc>
        <w:tc>
          <w:tcPr>
            <w:tcW w:w="2231" w:type="pct"/>
            <w:tcBorders>
              <w:top w:val="single" w:sz="6" w:space="0" w:color="auto"/>
              <w:left w:val="single" w:sz="6" w:space="0" w:color="auto"/>
              <w:bottom w:val="single" w:sz="6" w:space="0" w:color="auto"/>
              <w:right w:val="single" w:sz="6" w:space="0" w:color="auto"/>
            </w:tcBorders>
          </w:tcPr>
          <w:p w14:paraId="3891034A" w14:textId="77777777" w:rsidR="00A537D1" w:rsidRPr="00A537D1" w:rsidRDefault="00A537D1" w:rsidP="00A537D1">
            <w:pPr>
              <w:rPr>
                <w:rFonts w:ascii="Arial" w:hAnsi="Arial" w:cs="Arial"/>
                <w:color w:val="000000" w:themeColor="text1"/>
                <w:sz w:val="20"/>
                <w:szCs w:val="20"/>
                <w:lang w:val="en-GB"/>
              </w:rPr>
            </w:pPr>
            <w:r>
              <w:rPr>
                <w:rFonts w:ascii="Arial" w:hAnsi="Arial" w:cs="Arial"/>
                <w:color w:val="000000" w:themeColor="text1"/>
                <w:sz w:val="20"/>
                <w:szCs w:val="20"/>
                <w:lang w:val="en-GB"/>
              </w:rPr>
              <w:t>Influencing Variables</w:t>
            </w:r>
          </w:p>
        </w:tc>
        <w:tc>
          <w:tcPr>
            <w:tcW w:w="1274" w:type="pct"/>
            <w:tcBorders>
              <w:top w:val="single" w:sz="6" w:space="0" w:color="auto"/>
              <w:left w:val="single" w:sz="6" w:space="0" w:color="auto"/>
              <w:bottom w:val="single" w:sz="6" w:space="0" w:color="auto"/>
              <w:right w:val="single" w:sz="6" w:space="0" w:color="auto"/>
            </w:tcBorders>
          </w:tcPr>
          <w:p w14:paraId="2E380553" w14:textId="77777777" w:rsidR="00A537D1" w:rsidRPr="00A537D1" w:rsidRDefault="00A537D1" w:rsidP="00A537D1">
            <w:pPr>
              <w:rPr>
                <w:rFonts w:ascii="Arial" w:hAnsi="Arial" w:cs="Arial"/>
                <w:color w:val="000000" w:themeColor="text1"/>
                <w:sz w:val="20"/>
                <w:szCs w:val="20"/>
                <w:lang w:val="en-GB"/>
              </w:rPr>
            </w:pPr>
            <w:r>
              <w:rPr>
                <w:rFonts w:ascii="Arial" w:hAnsi="Arial" w:cs="Arial"/>
                <w:color w:val="000000" w:themeColor="text1"/>
                <w:sz w:val="20"/>
                <w:szCs w:val="20"/>
                <w:lang w:val="en-GB"/>
              </w:rPr>
              <w:t>Potential Impact</w:t>
            </w:r>
          </w:p>
        </w:tc>
      </w:tr>
      <w:tr w:rsidR="00A537D1" w:rsidRPr="00A537D1" w14:paraId="4217145F" w14:textId="77777777" w:rsidTr="00A537D1">
        <w:tblPrEx>
          <w:tblCellMar>
            <w:top w:w="0" w:type="dxa"/>
            <w:bottom w:w="0" w:type="dxa"/>
          </w:tblCellMar>
        </w:tblPrEx>
        <w:trPr>
          <w:trHeight w:val="782"/>
        </w:trPr>
        <w:tc>
          <w:tcPr>
            <w:tcW w:w="640" w:type="pct"/>
            <w:tcBorders>
              <w:top w:val="single" w:sz="6" w:space="0" w:color="auto"/>
              <w:left w:val="single" w:sz="6" w:space="0" w:color="auto"/>
              <w:bottom w:val="single" w:sz="6" w:space="0" w:color="auto"/>
              <w:right w:val="single" w:sz="6" w:space="0" w:color="auto"/>
            </w:tcBorders>
          </w:tcPr>
          <w:p w14:paraId="14BFF5A1" w14:textId="77777777" w:rsidR="00A537D1" w:rsidRPr="00A537D1" w:rsidRDefault="00A537D1" w:rsidP="00A537D1">
            <w:pPr>
              <w:rPr>
                <w:rFonts w:ascii="Arial" w:hAnsi="Arial" w:cs="Arial"/>
                <w:color w:val="000000" w:themeColor="text1"/>
                <w:sz w:val="20"/>
                <w:szCs w:val="20"/>
                <w:lang w:val="en-GB"/>
              </w:rPr>
            </w:pPr>
            <w:r>
              <w:rPr>
                <w:rFonts w:ascii="Arial" w:hAnsi="Arial" w:cs="Arial"/>
                <w:color w:val="000000" w:themeColor="text1"/>
                <w:sz w:val="20"/>
                <w:szCs w:val="20"/>
                <w:lang w:val="en-GB"/>
              </w:rPr>
              <w:t>Risk flag stacking (4+ flags) is the strongest delinquency predictor, reaching 38.1% delinquency rate</w:t>
            </w:r>
          </w:p>
        </w:tc>
        <w:tc>
          <w:tcPr>
            <w:tcW w:w="855" w:type="pct"/>
            <w:tcBorders>
              <w:top w:val="single" w:sz="6" w:space="0" w:color="auto"/>
              <w:left w:val="single" w:sz="6" w:space="0" w:color="auto"/>
              <w:bottom w:val="single" w:sz="6" w:space="0" w:color="auto"/>
              <w:right w:val="single" w:sz="6" w:space="0" w:color="auto"/>
            </w:tcBorders>
          </w:tcPr>
          <w:p w14:paraId="233EE3BA" w14:textId="77777777" w:rsidR="00A537D1" w:rsidRPr="00A537D1" w:rsidRDefault="00A537D1" w:rsidP="00A537D1">
            <w:pPr>
              <w:rPr>
                <w:rFonts w:ascii="Arial" w:hAnsi="Arial" w:cs="Arial"/>
                <w:color w:val="000000" w:themeColor="text1"/>
                <w:sz w:val="20"/>
                <w:szCs w:val="20"/>
                <w:lang w:val="en-GB"/>
              </w:rPr>
            </w:pPr>
            <w:r>
              <w:rPr>
                <w:rFonts w:ascii="Arial" w:hAnsi="Arial" w:cs="Arial"/>
                <w:color w:val="000000" w:themeColor="text1"/>
                <w:sz w:val="20"/>
                <w:szCs w:val="20"/>
                <w:lang w:val="en-GB"/>
              </w:rPr>
              <w:t>Customers with ≥4 simultaneous risk flags (any combination of high utilisation, high DTI, unemployed, Business card, short tenure, low credit score)</w:t>
            </w:r>
          </w:p>
        </w:tc>
        <w:tc>
          <w:tcPr>
            <w:tcW w:w="2231" w:type="pct"/>
            <w:tcBorders>
              <w:top w:val="single" w:sz="6" w:space="0" w:color="auto"/>
              <w:left w:val="single" w:sz="6" w:space="0" w:color="auto"/>
              <w:bottom w:val="single" w:sz="6" w:space="0" w:color="auto"/>
              <w:right w:val="single" w:sz="6" w:space="0" w:color="auto"/>
            </w:tcBorders>
          </w:tcPr>
          <w:p w14:paraId="3EB31FED" w14:textId="77777777" w:rsidR="00A537D1" w:rsidRPr="00A537D1" w:rsidRDefault="00A537D1" w:rsidP="00A537D1">
            <w:pPr>
              <w:rPr>
                <w:rFonts w:ascii="Arial" w:hAnsi="Arial" w:cs="Arial"/>
                <w:color w:val="000000" w:themeColor="text1"/>
                <w:sz w:val="20"/>
                <w:szCs w:val="20"/>
                <w:lang w:val="en-GB"/>
              </w:rPr>
            </w:pPr>
            <w:r>
              <w:rPr>
                <w:rFonts w:ascii="Arial" w:hAnsi="Arial" w:cs="Arial"/>
                <w:color w:val="000000" w:themeColor="text1"/>
                <w:sz w:val="20"/>
                <w:szCs w:val="20"/>
                <w:lang w:val="en-GB"/>
              </w:rPr>
              <w:t>Credit_Utilization, Debt_to_Income_Ratio, Employment_Status, Credit_Card_Type, Account_Tenure, Credit_Score, risk_flag_count (engineered feature)</w:t>
            </w:r>
          </w:p>
        </w:tc>
        <w:tc>
          <w:tcPr>
            <w:tcW w:w="1274" w:type="pct"/>
            <w:tcBorders>
              <w:top w:val="single" w:sz="6" w:space="0" w:color="auto"/>
              <w:left w:val="single" w:sz="6" w:space="0" w:color="auto"/>
              <w:bottom w:val="single" w:sz="6" w:space="0" w:color="auto"/>
              <w:right w:val="single" w:sz="6" w:space="0" w:color="auto"/>
            </w:tcBorders>
          </w:tcPr>
          <w:p w14:paraId="78DC9A44" w14:textId="77777777" w:rsidR="00A537D1" w:rsidRPr="00A537D1" w:rsidRDefault="00A537D1" w:rsidP="00A537D1">
            <w:pPr>
              <w:rPr>
                <w:rFonts w:ascii="Arial" w:hAnsi="Arial" w:cs="Arial"/>
                <w:color w:val="000000" w:themeColor="text1"/>
                <w:sz w:val="20"/>
                <w:szCs w:val="20"/>
                <w:lang w:val="en-GB"/>
              </w:rPr>
            </w:pPr>
            <w:r>
              <w:rPr>
                <w:rFonts w:ascii="Arial" w:hAnsi="Arial" w:cs="Arial"/>
                <w:color w:val="000000" w:themeColor="text1"/>
                <w:sz w:val="20"/>
                <w:szCs w:val="20"/>
                <w:lang w:val="en-GB"/>
              </w:rPr>
              <w:t>Prioritise outreach to multi-flag customers before Month 4; offer payment restructuring, utilisation alerts, or credit counselling to reduce default probability</w:t>
            </w:r>
          </w:p>
        </w:tc>
      </w:tr>
    </w:tbl>
    <w:p w14:paraId="50978634" w14:textId="77777777" w:rsidR="00A537D1" w:rsidRPr="00A537D1" w:rsidRDefault="00A537D1">
      <w:pPr>
        <w:rPr>
          <w:rFonts w:ascii="Arial" w:hAnsi="Arial" w:cs="Arial"/>
          <w:color w:val="000000" w:themeColor="text1"/>
        </w:rPr>
      </w:pPr>
    </w:p>
    <w:p w14:paraId="72833B3F" w14:textId="77777777" w:rsidR="007D72C2" w:rsidRPr="00A537D1" w:rsidRDefault="00A537D1">
      <w:pPr>
        <w:pStyle w:val="Heading1"/>
        <w:rPr>
          <w:rFonts w:ascii="Arial" w:hAnsi="Arial" w:cs="Arial"/>
          <w:color w:val="000000" w:themeColor="text1"/>
        </w:rPr>
      </w:pPr>
      <w:r>
        <w:rPr>
          <w:rFonts w:ascii="Arial" w:hAnsi="Arial" w:cs="Arial"/>
          <w:color w:val="000000" w:themeColor="text1"/>
        </w:rPr>
        <w:t>2. Recommendation Framework</w:t>
      </w:r>
    </w:p>
    <w:p w14:paraId="2F84D53A" w14:textId="77777777" w:rsidR="007D72C2" w:rsidRPr="00A537D1" w:rsidRDefault="00A537D1">
      <w:pPr>
        <w:rPr>
          <w:rFonts w:ascii="Arial" w:hAnsi="Arial" w:cs="Arial"/>
          <w:color w:val="000000" w:themeColor="text1"/>
        </w:rPr>
      </w:pPr>
      <w:r>
        <w:rPr>
          <w:rFonts w:ascii="Arial" w:hAnsi="Arial" w:cs="Arial"/>
          <w:color w:val="000000" w:themeColor="text1"/>
        </w:rPr>
        <w:t>Based on one of your model’s insights, outline your recommended intervention. Your recommendation should follow a SMART approach (Specific, Measurable, Actionable, Relevant, Time-bound).</w:t>
      </w:r>
    </w:p>
    <w:p w14:paraId="15F4D6C8" w14:textId="77777777" w:rsidR="007D72C2" w:rsidRPr="00A537D1" w:rsidRDefault="00A537D1">
      <w:pPr>
        <w:rPr>
          <w:rFonts w:ascii="Arial" w:hAnsi="Arial" w:cs="Arial"/>
          <w:color w:val="000000" w:themeColor="text1"/>
        </w:rPr>
      </w:pPr>
      <w:r>
        <w:rPr>
          <w:rFonts w:ascii="Arial" w:hAnsi="Arial" w:cs="Arial"/>
          <w:color w:val="000000" w:themeColor="text1"/>
        </w:rPr>
        <w:t>Use the following subheadings to guide your structure:</w:t>
      </w:r>
    </w:p>
    <w:p w14:paraId="6CE07FC9" w14:textId="77777777" w:rsidR="007D72C2" w:rsidRPr="00A537D1" w:rsidRDefault="00A537D1">
      <w:pPr>
        <w:pStyle w:val="ListBullet"/>
        <w:rPr>
          <w:rFonts w:ascii="Arial" w:hAnsi="Arial" w:cs="Arial"/>
          <w:color w:val="000000" w:themeColor="text1"/>
        </w:rPr>
      </w:pPr>
      <w:r>
        <w:rPr>
          <w:rFonts w:ascii="Arial" w:hAnsi="Arial" w:cs="Arial"/>
          <w:color w:val="000000" w:themeColor="text1"/>
        </w:rPr>
        <w:t xml:space="preserve">Restated Insight: High credit utilisation increases delinquency risk. Customers with Credit_Utilization above 50% who simultaneously carry at least one other risk indicator are significantly more likely to miss payments. This is confirmed by both EDA (the util_x_dti interaction term is a top-ranked feature) and the XGBoost model’s feature importance scores.</w:t>
      </w:r>
    </w:p>
    <w:p w14:paraId="7B9326A5" w14:textId="77777777" w:rsidR="007D72C2" w:rsidRPr="00A537D1" w:rsidRDefault="00A537D1">
      <w:pPr>
        <w:pStyle w:val="ListBullet"/>
        <w:rPr>
          <w:rFonts w:ascii="Arial" w:hAnsi="Arial" w:cs="Arial"/>
          <w:color w:val="000000" w:themeColor="text1"/>
        </w:rPr>
      </w:pPr>
      <w:r>
        <w:rPr>
          <w:rFonts w:ascii="Arial" w:hAnsi="Arial" w:cs="Arial"/>
          <w:color w:val="000000" w:themeColor="text1"/>
        </w:rPr>
        <w:t xml:space="preserve">Proposed Recommendation: By Q3 2025, Geldium’s collections team will proactively contact all customers with Credit_Utilization &gt; 50% and at least one co-indicator flag, with the goal of reducing new delinquency cases in that segment by 15% within two quarters.</w:t>
      </w:r>
    </w:p>
    <w:p w14:paraId="573E860B" w14:textId="0AE081C0" w:rsidR="007D72C2" w:rsidRPr="00A537D1" w:rsidRDefault="00A537D1">
      <w:pPr>
        <w:pStyle w:val="ListBullet2"/>
        <w:rPr>
          <w:rFonts w:ascii="Arial" w:hAnsi="Arial" w:cs="Arial"/>
          <w:color w:val="000000" w:themeColor="text1"/>
        </w:rPr>
      </w:pPr>
      <w:r>
        <w:rPr>
          <w:rFonts w:ascii="Arial" w:hAnsi="Arial" w:cs="Arial"/>
          <w:color w:val="000000" w:themeColor="text1"/>
        </w:rPr>
        <w:t xml:space="preserve">  Specific: Proactively contact all active customers whose Credit_Utilization exceeds 50% AND who carry at least one additional risk flag (high DTI, missed payment in Month 4, or Business card type), using the XGBoost model’s risk scores as a prioritisation tool.</w:t>
      </w:r>
    </w:p>
    <w:p w14:paraId="14A948D0" w14:textId="2A45793E" w:rsidR="007D72C2" w:rsidRPr="00A537D1" w:rsidRDefault="00A537D1">
      <w:pPr>
        <w:pStyle w:val="ListBullet2"/>
        <w:rPr>
          <w:rFonts w:ascii="Arial" w:hAnsi="Arial" w:cs="Arial"/>
          <w:color w:val="000000" w:themeColor="text1"/>
        </w:rPr>
      </w:pPr>
      <w:r>
        <w:rPr>
          <w:rFonts w:ascii="Arial" w:hAnsi="Arial" w:cs="Arial"/>
          <w:color w:val="000000" w:themeColor="text1"/>
        </w:rPr>
        <w:t xml:space="preserve">  Measurable: Achieve a 15% reduction in new delinquency cases within the targeted high-utilisation, multi-flag segment over two quarters, tracked monthly against the current 38.1% baseline delinquency rate.</w:t>
      </w:r>
    </w:p>
    <w:p w14:paraId="3D5B0DDB" w14:textId="7BFA667D" w:rsidR="007D72C2" w:rsidRPr="00A537D1" w:rsidRDefault="00A537D1">
      <w:pPr>
        <w:pStyle w:val="ListBullet2"/>
        <w:rPr>
          <w:rFonts w:ascii="Arial" w:hAnsi="Arial" w:cs="Arial"/>
          <w:color w:val="000000" w:themeColor="text1"/>
        </w:rPr>
      </w:pPr>
      <w:r>
        <w:rPr>
          <w:rFonts w:ascii="Arial" w:hAnsi="Arial" w:cs="Arial"/>
          <w:color w:val="000000" w:themeColor="text1"/>
        </w:rPr>
        <w:t xml:space="preserve">  Actionable: Deploy payment plan offers, credit limit guidance, and utilisation reduction alerts via the existing collections team workflow; no new systems are required — the model output is a prioritised customer list.</w:t>
      </w:r>
    </w:p>
    <w:p w14:paraId="692F7089" w14:textId="7C1B8958" w:rsidR="007D72C2" w:rsidRPr="00A537D1" w:rsidRDefault="00A537D1">
      <w:pPr>
        <w:pStyle w:val="ListBullet2"/>
        <w:rPr>
          <w:rFonts w:ascii="Arial" w:hAnsi="Arial" w:cs="Arial"/>
          <w:color w:val="000000" w:themeColor="text1"/>
        </w:rPr>
      </w:pPr>
      <w:r>
        <w:rPr>
          <w:rFonts w:ascii="Arial" w:hAnsi="Arial" w:cs="Arial"/>
          <w:color w:val="000000" w:themeColor="text1"/>
        </w:rPr>
        <w:t xml:space="preserve">  Relevant: High credit utilisation combined with co-indicators is the strongest predictive pattern in Geldium’s data; targeting this segment directly addresses the root causes of the portfolio’s elevated delinquency rate.</w:t>
      </w:r>
    </w:p>
    <w:p w14:paraId="5BFD19C6" w14:textId="549CBD98" w:rsidR="007D72C2" w:rsidRPr="00A537D1" w:rsidRDefault="00A537D1">
      <w:pPr>
        <w:pStyle w:val="ListBullet2"/>
        <w:rPr>
          <w:rFonts w:ascii="Arial" w:hAnsi="Arial" w:cs="Arial"/>
          <w:color w:val="000000" w:themeColor="text1"/>
        </w:rPr>
      </w:pPr>
      <w:r>
        <w:rPr>
          <w:rFonts w:ascii="Arial" w:hAnsi="Arial" w:cs="Arial"/>
          <w:color w:val="000000" w:themeColor="text1"/>
        </w:rPr>
        <w:t xml:space="preserve">  Time-bound: Launch outreach programme by Q3 2025; assess impact at Q4 2025 and Q1 2026 with a formal review against the 15% reduction target.</w:t>
      </w:r>
    </w:p>
    <w:p w14:paraId="17D2B140" w14:textId="77777777" w:rsidR="007D72C2" w:rsidRPr="00A537D1" w:rsidRDefault="00A537D1">
      <w:pPr>
        <w:pStyle w:val="ListBullet"/>
        <w:rPr>
          <w:rFonts w:ascii="Arial" w:hAnsi="Arial" w:cs="Arial"/>
          <w:color w:val="000000" w:themeColor="text1"/>
        </w:rPr>
      </w:pPr>
      <w:r>
        <w:rPr>
          <w:rFonts w:ascii="Arial" w:hAnsi="Arial" w:cs="Arial"/>
          <w:color w:val="000000" w:themeColor="text1"/>
        </w:rPr>
        <w:lastRenderedPageBreak/>
        <w:t xml:space="preserve">Justification and Business Rationale: Analysis of Geldium’s 500-customer portfolio shows that credit utilisation above 50% is among the top five predictors of delinquency, and its impact compounds sharply when combined with other stress indicators — multi-flag customers reach a 38.1% delinquency rate, more than double the 16% portfolio average. By intervening before payment behaviour deteriorates further (Month 4 is the critical tipping point), Geldium can redirect collections resources toward the customers most likely to default, reduce write-off exposure, and demonstrate a proactive, data-driven approach to responsible lending to regulators. This recommendation can be implemented immediately using the current model’s risk scores without waiting for the expanded dataset needed to make the model fully production-ready.</w:t>
      </w:r>
    </w:p>
    <w:p w14:paraId="08E6A272" w14:textId="77777777" w:rsidR="007D72C2" w:rsidRPr="00A537D1" w:rsidRDefault="00A537D1">
      <w:pPr>
        <w:pStyle w:val="Heading1"/>
        <w:rPr>
          <w:rFonts w:ascii="Arial" w:hAnsi="Arial" w:cs="Arial"/>
          <w:color w:val="000000" w:themeColor="text1"/>
        </w:rPr>
      </w:pPr>
      <w:r>
        <w:rPr>
          <w:rFonts w:ascii="Arial" w:hAnsi="Arial" w:cs="Arial"/>
          <w:color w:val="000000" w:themeColor="text1"/>
        </w:rPr>
        <w:t>3. Ethical and Responsible AI Considerations</w:t>
      </w:r>
    </w:p>
    <w:p w14:paraId="12F299C0" w14:textId="77777777" w:rsidR="007D72C2" w:rsidRPr="00A537D1" w:rsidRDefault="00A537D1">
      <w:pPr>
        <w:rPr>
          <w:rFonts w:ascii="Arial" w:hAnsi="Arial" w:cs="Arial"/>
          <w:color w:val="000000" w:themeColor="text1"/>
        </w:rPr>
      </w:pPr>
      <w:r>
        <w:rPr>
          <w:rFonts w:ascii="Arial" w:hAnsi="Arial" w:cs="Arial"/>
          <w:color w:val="000000" w:themeColor="text1"/>
        </w:rPr>
        <w:t>Reflect on the fairness, transparency, and impact of your model and recommendation.</w:t>
        <w:br/>
        <w:br/>
        <w:t>Include a brief discussion of any relevant ethical considerations, such as:</w:t>
      </w:r>
    </w:p>
    <w:p w14:paraId="00012648" w14:textId="6B4C09F0" w:rsidR="007D72C2" w:rsidRPr="00A537D1" w:rsidRDefault="00A537D1">
      <w:pPr>
        <w:pStyle w:val="ListBullet"/>
        <w:rPr>
          <w:rFonts w:ascii="Arial" w:hAnsi="Arial" w:cs="Arial"/>
          <w:color w:val="000000" w:themeColor="text1"/>
        </w:rPr>
      </w:pPr>
      <w:r>
        <w:rPr>
          <w:rFonts w:ascii="Arial" w:hAnsi="Arial" w:cs="Arial"/>
          <w:color w:val="000000" w:themeColor="text1"/>
        </w:rPr>
        <w:t>Bias and fairness risks identified. The model produces statistically significant disparities across age groups and card types (chi-square p ≤ 0.001). Customers aged 46–60 are over-flagged at a Disparate Impact Ratio of 1.42 — above the 1.25 regulatory threshold under ECOA and FCRA — while customers aged 18–30 and Standard card holders are under-flagged (DIRs of 0.67 and 0.63). A 43-percentage-point recall gap between the oldest and youngest age groups means young delinquent customers are being systematically missed. Additionally, employment status and location serve as potential proxy variables for protected characteristics (race, ethnicity), creating indirect discrimination risk even without those variables being explicitly used. Mitigation: mandatory human review for every flagged customer; post-processing threshold adjustments by age group until fairness constraints can be incorporated into the next model version; formal proxy discrimination audit before production deployment.</w:t>
      </w:r>
    </w:p>
    <w:p w14:paraId="47264F3A" w14:textId="553BA44A" w:rsidR="007D72C2" w:rsidRPr="00A537D1" w:rsidRDefault="00A537D1">
      <w:pPr>
        <w:pStyle w:val="ListBullet"/>
        <w:rPr>
          <w:rFonts w:ascii="Arial" w:hAnsi="Arial" w:cs="Arial"/>
          <w:color w:val="000000" w:themeColor="text1"/>
        </w:rPr>
      </w:pPr>
      <w:r>
        <w:rPr>
          <w:rFonts w:ascii="Arial" w:hAnsi="Arial" w:cs="Arial"/>
          <w:color w:val="000000" w:themeColor="text1"/>
        </w:rPr>
        <w:t>Explainability. XGBoost provides native feature importance scores that identify which variables drove each prediction, making the model’s decisions interpretable at both the portfolio level (top predictors: payment_score, total_missed, month4_bad, risk_flag_count, Credit_Utilization) and the individual customer level. Collections agents can communicate decisions in plain language tied to observed customer behaviours — for example: “This customer was flagged because they missed or paid late in four of the last six months and their card balance is over half their credit limit.” This satisfies ECOA’s requirement for specific, written reasons for any adverse action. However, the overall model performance (AUC ~0.5) must be disclosed to stakeholders: the model’s rankings are currently close to random, and human judgement remains essential.</w:t>
      </w:r>
    </w:p>
    <w:p w14:paraId="23BA5152" w14:textId="510C173F" w:rsidR="007D72C2" w:rsidRPr="00A537D1" w:rsidRDefault="00A537D1">
      <w:pPr>
        <w:pStyle w:val="ListBullet"/>
        <w:rPr>
          <w:rFonts w:ascii="Arial" w:hAnsi="Arial" w:cs="Arial"/>
          <w:color w:val="000000" w:themeColor="text1"/>
        </w:rPr>
      </w:pPr>
      <w:r>
        <w:rPr>
          <w:rFonts w:ascii="Arial" w:hAnsi="Arial" w:cs="Arial"/>
          <w:color w:val="000000" w:themeColor="text1"/>
        </w:rPr>
        <w:t>Responsible financial decision-making. The recommendation is designed to be intervention-first, not punitive. By flagging customers early — before delinquency is confirmed — Geldium can offer payment restructuring, utilisation alerts, and credit counselling rather than jumping to collections action. This supports customers in managing financial stress while reducing Geldium’s write-off exposure, aligning commercial objectives with customer wellbeing. No automated adverse actions (credit limit reductions, account suspensions) should be taken based solely on model scores; all decisions require a documented human review to ensure proportionality and fairness.</w:t>
      </w:r>
    </w:p>
    <w:p w14:paraId="3DCE71AF" w14:textId="7D76B70B" w:rsidR="007D72C2" w:rsidRPr="00A537D1" w:rsidRDefault="00A537D1">
      <w:pPr>
        <w:pStyle w:val="ListBullet"/>
        <w:rPr>
          <w:rFonts w:ascii="Arial" w:hAnsi="Arial" w:cs="Arial"/>
          <w:color w:val="000000" w:themeColor="text1"/>
        </w:rPr>
      </w:pPr>
      <w:r>
        <w:rPr>
          <w:rFonts w:ascii="Arial" w:hAnsi="Arial" w:cs="Arial"/>
          <w:color w:val="000000" w:themeColor="text1"/>
        </w:rPr>
        <w:t>Additional ethical principles. Transparency: Geldium should inform customers that data-driven risk scoring is used in collections prioritisation, in line with consumer protection expectations and FCRA disclosure requirements. Accountability: A designated model owner should be assigned to monitor flag rates, false positive rates, and recall gaps by demographic segment on a monthly basis in production; the 1.42 DIR for the 46–60 age group must be formally reviewed by the compliance team before deployment. Data privacy: All model inputs are drawn from Geldium’s own customer data under existing contractual relationships, but any expansion to third-party bureau data or behavioural signals must be reviewed for FCRA permissible purpose and data minimisation principles. Honest limitation disclosure: the model is not production-ready in its current form — all candidate models achieve AUC near 0.5 on this 500-row dataset, confirming near-random predictive performance. Deploying it to drive automated decisions without disclosing this limitation would be ethically and legally irresponsible.</w:t>
      </w:r>
    </w:p>
    <w:p w14:paraId="33EC1793" w14:textId="77777777" w:rsidR="007D72C2" w:rsidRPr="00A537D1" w:rsidRDefault="00A537D1">
      <w:pPr>
        <w:rPr>
          <w:rFonts w:ascii="Arial" w:hAnsi="Arial" w:cs="Arial"/>
          <w:color w:val="000000" w:themeColor="text1"/>
        </w:rPr>
      </w:pPr>
      <w:r>
        <w:rPr>
          <w:rFonts w:ascii="Arial" w:hAnsi="Arial" w:cs="Arial"/>
          <w:color w:val="000000" w:themeColor="text1"/>
        </w:rPr>
        <w:br/>
        <w:t>Keep your report under two pages. Write in plain, professional language. Use headings, bullet points, or short paragraphs to make it easy for the reader to follow.</w:t>
      </w: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72C2"/>
    <w:rsid w:val="008237CA"/>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2025-03-23T11:41:00Z</dcterms:modified>
  <cp:category/>
</cp:coreProperties>
</file>