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3E112" w14:textId="77777777" w:rsidR="004B5529" w:rsidRPr="00E31114" w:rsidRDefault="00E31114" w:rsidP="00E31114">
      <w:pPr>
        <w:jc w:val="center"/>
        <w:rPr>
          <w:rFonts w:ascii="Arial" w:hAnsi="Arial" w:cs="Arial"/>
          <w:b/>
          <w:bCs/>
          <w:i w:val="0"/>
          <w:iCs w:val="0"/>
          <w:sz w:val="32"/>
          <w:szCs w:val="32"/>
        </w:rPr>
      </w:pPr>
      <w:r>
        <w:rPr>
          <w:rFonts w:ascii="Arial" w:hAnsi="Arial" w:cs="Arial"/>
          <w:b/>
          <w:bCs/>
          <w:i w:val="0"/>
          <w:iCs w:val="0"/>
          <w:sz w:val="32"/>
          <w:szCs w:val="32"/>
        </w:rPr>
        <w:t>Predictive Model Plan – Student Template</w:t>
      </w:r>
    </w:p>
    <w:p w14:paraId="144E445C" w14:textId="77777777" w:rsidR="004B5529" w:rsidRPr="00E31114" w:rsidRDefault="00E31114">
      <w:pPr>
        <w:rPr>
          <w:rFonts w:ascii="Arial" w:hAnsi="Arial" w:cs="Arial"/>
          <w:i w:val="0"/>
          <w:iCs w:val="0"/>
          <w:color w:val="000000" w:themeColor="text1"/>
        </w:rPr>
      </w:pPr>
      <w:r>
        <w:rPr>
          <w:rFonts w:ascii="Arial" w:hAnsi="Arial" w:cs="Arial"/>
          <w:i w:val="0"/>
          <w:iCs w:val="0"/>
          <w:color w:val="000000" w:themeColor="text1"/>
        </w:rPr>
        <w:t>Use this template to structure your submission. You can copy and paste content from GenAI tools and build around it with your own analysis.</w:t>
      </w:r>
    </w:p>
    <w:p w14:paraId="19A14894" w14:textId="77777777" w:rsidR="004B5529" w:rsidRPr="00E31114" w:rsidRDefault="00E31114">
      <w:pPr>
        <w:pStyle w:val="Heading1"/>
        <w:rPr>
          <w:rFonts w:ascii="Arial" w:hAnsi="Arial" w:cs="Arial"/>
          <w:i w:val="0"/>
          <w:iCs w:val="0"/>
          <w:color w:val="000000" w:themeColor="text1"/>
        </w:rPr>
      </w:pPr>
      <w:r>
        <w:rPr>
          <w:rFonts w:ascii="Arial" w:hAnsi="Arial" w:cs="Arial"/>
          <w:i w:val="0"/>
          <w:iCs w:val="0"/>
          <w:color w:val="000000" w:themeColor="text1"/>
        </w:rPr>
        <w:t>1. Model Logic (Generated with GenAI)</w:t>
      </w:r>
    </w:p>
    <w:p w14:paraId="5B6A105C" w14:textId="77777777" w:rsidR="004B5529" w:rsidRPr="00E31114" w:rsidRDefault="00E31114">
      <w:pPr>
        <w:rPr>
          <w:rFonts w:ascii="Arial" w:hAnsi="Arial" w:cs="Arial"/>
          <w:i w:val="0"/>
          <w:iCs w:val="0"/>
          <w:color w:val="000000" w:themeColor="text1"/>
        </w:rPr>
      </w:pPr>
      <w:r>
        <w:rPr>
          <w:rFonts w:ascii="Arial" w:hAnsi="Arial" w:cs="Arial"/>
          <w:i w:val="0"/>
          <w:iCs w:val="0"/>
          <w:color w:val="000000" w:themeColor="text1"/>
        </w:rPr>
        <w:t>Use a GenAI tool (e.g., ChatGPT, Gemini) to generate the logic or structure of your predictive model.</w:t>
        <w:br/>
        <w:t>- You may include pseudo-code, a step-by-step process, or a simplified code snippet.</w:t>
        <w:br/>
        <w:t>- Briefly explain what the model is designed to do.</w:t>
      </w:r>
    </w:p>
    <w:p w14:paraId="0F0274EA" w14:textId="77777777" w:rsidR="004B5529" w:rsidRPr="00E31114" w:rsidRDefault="00E31114">
      <w:pPr>
        <w:rPr>
          <w:rFonts w:ascii="Arial" w:hAnsi="Arial" w:cs="Arial"/>
          <w:i w:val="0"/>
          <w:iCs w:val="0"/>
          <w:color w:val="000000" w:themeColor="text1"/>
        </w:rPr>
      </w:pPr>
      <w:r>
        <w:rPr>
          <w:rFonts w:ascii="Arial" w:hAnsi="Arial" w:cs="Arial"/>
          <w:i w:val="0"/>
          <w:iCs w:val="0"/>
          <w:color w:val="000000" w:themeColor="text1"/>
        </w:rPr>
        <w:t>Paste your GenAI-generated output below or describe the logic in your own words:</w:t>
      </w:r>
    </w:p>
    <w:p w14:paraId="6C4BE02A" w14:textId="77777777" w:rsidR="004B5529" w:rsidRPr="00E31114" w:rsidRDefault="00E31114">
      <w:pPr>
        <w:pStyle w:val="IntenseQuote"/>
        <w:rPr>
          <w:rFonts w:ascii="Courier New" w:hAnsi="Courier New" w:cs="Courier New"/>
          <w:i w:val="0"/>
          <w:iCs w:val="0"/>
          <w:color w:val="000000" w:themeColor="text1"/>
        </w:rPr>
      </w:pPr>
      <w:r>
        <w:rPr>
          <w:rFonts w:ascii="Arial" w:hAnsi="Arial" w:cs="Arial"/>
          <w:i w:val="0"/>
          <w:iCs w:val="0"/>
          <w:color w:val="000000" w:themeColor="text1"/>
        </w:rPr>
        <w:br/>
        <w:br/>
      </w:r>
      <w:r>
        <w:rPr>
          <w:rFonts w:ascii="Courier New" w:hAnsi="Courier New" w:cs="Courier New"/>
          <w:i w:val="0"/>
          <w:iCs w:val="0"/>
          <w:color w:val="000000" w:themeColor="text1"/>
        </w:rPr>
        <w:t xml:space="preserve">STEP 1 — DATA LOADING &amp; CLEANING</w:t>
      </w:r>
      <w:r>
        <w:rPr>
          <w:rFonts w:ascii="Courier New" w:hAnsi="Courier New" w:cs="Courier New"/>
          <w:i w:val="0"/>
          <w:iCs w:val="0"/>
          <w:color w:val="000000" w:themeColor="text1"/>
        </w:rPr>
        <w:t xml:space="preserve">Load Geldium’s 500-customer dataset. Standardise Employment_Status labels (“EMP”/“Employed”/“employed” → “employed”). Cap Credit_Utilization at 1.0 for 4 anomalous records. Create binary missing-value indicator columns (Income_Missing, LoanBal_Missing) BEFORE imputation — customers with missing Loan_Balance show a 24.1% delinquency rate, making missingness itself a predictive signal. Impute remaining nulls using median for Income and Loan_Balance (robust to skew) and mean for Credit_Score (near-normal, only 2 missing).</w:t>
      </w:r>
      <w:r>
        <w:rPr>
          <w:rFonts w:ascii="Arial" w:hAnsi="Arial" w:cs="Arial"/>
          <w:i w:val="0"/>
          <w:iCs w:val="0"/>
          <w:color w:val="000000" w:themeColor="text1"/>
        </w:rPr>
        <w:br/>
      </w:r>
      <w:r>
        <w:rPr>
          <w:rFonts w:ascii="Courier New" w:hAnsi="Courier New" w:cs="Courier New"/>
          <w:i w:val="0"/>
          <w:iCs w:val="0"/>
          <w:color w:val="000000" w:themeColor="text1"/>
        </w:rPr>
        <w:t xml:space="preserve">STEP 2 — FEATURE ENGINEERING</w:t>
      </w:r>
      <w:r>
        <w:rPr>
          <w:rFonts w:ascii="Courier New" w:hAnsi="Courier New" w:cs="Courier New"/>
          <w:i w:val="0"/>
          <w:iCs w:val="0"/>
          <w:color w:val="000000" w:themeColor="text1"/>
        </w:rPr>
        <w:t xml:space="preserve">Encode monthly payment history ordinally (On-time=0, Late=1, Missed=2) across all six months. Derive aggregate payment behaviour features: total_missed, total_bad, payment_score (0=all on-time, 12=all missed), and month4_bad (flag for Month 4 deterioration — identified in EDA as the critical tipping-point month). Create six binary risk flags: high_util (Credit_Utilization &gt; 50%), high_dti (DTI &gt; 35%), unemployed, biz_card, low_tenure (Account_Tenure &lt; 5 years), low_score (Credit_Score &lt; 500). Sum these into risk_flag_count — customers with 4+ flags reach 38.1% delinquency vs 16% overall. Add interaction term util_x_dti (utilization x DTI). Label-encode categorical columns.</w:t>
      </w:r>
      <w:r>
        <w:rPr>
          <w:rFonts w:ascii="Arial" w:hAnsi="Arial" w:cs="Arial"/>
          <w:i w:val="0"/>
          <w:iCs w:val="0"/>
          <w:color w:val="000000" w:themeColor="text1"/>
        </w:rPr>
        <w:br/>
      </w:r>
      <w:r>
        <w:rPr>
          <w:rFonts w:ascii="Courier New" w:hAnsi="Courier New" w:cs="Courier New"/>
          <w:i w:val="0"/>
          <w:iCs w:val="0"/>
          <w:color w:val="000000" w:themeColor="text1"/>
        </w:rPr>
        <w:t xml:space="preserve">STEP 3 — TRAIN/TEST SPLIT &amp; CLASS IMBALANCE</w:t>
      </w:r>
      <w:r>
        <w:rPr>
          <w:rFonts w:ascii="Courier New" w:hAnsi="Courier New" w:cs="Courier New"/>
          <w:i w:val="0"/>
          <w:iCs w:val="0"/>
          <w:color w:val="000000" w:themeColor="text1"/>
        </w:rPr>
        <w:t xml:space="preserve">Stratified 80/20 split (random_state=42) to preserve the 16% delinquency rate in both sets. Apply SMOTE (Synthetic Minority Over-sampling Technique, k_neighbors=3) to the training set only — this synthesises additional delinquent examples to balance the classes without exposing test data to the oversampling.</w:t>
      </w:r>
      <w:r>
        <w:rPr>
          <w:rFonts w:ascii="Arial" w:hAnsi="Arial" w:cs="Arial"/>
          <w:i w:val="0"/>
          <w:iCs w:val="0"/>
          <w:color w:val="000000" w:themeColor="text1"/>
        </w:rPr>
        <w:br/>
      </w:r>
      <w:r>
        <w:rPr>
          <w:rFonts w:ascii="Courier New" w:hAnsi="Courier New" w:cs="Courier New"/>
          <w:i w:val="0"/>
          <w:iCs w:val="0"/>
          <w:color w:val="000000" w:themeColor="text1"/>
        </w:rPr>
        <w:t xml:space="preserve">STEP 4 — MODEL TRAINING (XGBoost)</w:t>
      </w:r>
      <w:r>
        <w:rPr>
          <w:rFonts w:ascii="Courier New" w:hAnsi="Courier New" w:cs="Courier New"/>
          <w:i w:val="0"/>
          <w:iCs w:val="0"/>
          <w:color w:val="000000" w:themeColor="text1"/>
        </w:rPr>
        <w:t xml:space="preserve">Train an XGBoost gradient boosted classifier with conservative hyperparameters: n_estimators=100, max_depth=2 (shallow trees prevent overfitting on 500 rows), learning_rate=0.1, subsample=0.8, colsample_bytree=0.8. Evaluate model signal by running 5-fold stratified cross-validation across four model types (Random baseline, Logistic Regression, Random Forest, XGBoost) before final training.</w:t>
      </w:r>
      <w:r>
        <w:rPr>
          <w:rFonts w:ascii="Arial" w:hAnsi="Arial" w:cs="Arial"/>
          <w:i w:val="0"/>
          <w:iCs w:val="0"/>
          <w:color w:val="000000" w:themeColor="text1"/>
        </w:rPr>
        <w:br/>
      </w:r>
      <w:r>
        <w:rPr>
          <w:rFonts w:ascii="Courier New" w:hAnsi="Courier New" w:cs="Courier New"/>
          <w:i w:val="0"/>
          <w:iCs w:val="0"/>
          <w:color w:val="000000" w:themeColor="text1"/>
        </w:rPr>
        <w:t xml:space="preserve">STEP 5 — THRESHOLD TUNING</w:t>
      </w:r>
      <w:r>
        <w:rPr>
          <w:rFonts w:ascii="Courier New" w:hAnsi="Courier New" w:cs="Courier New"/>
          <w:i w:val="0"/>
          <w:iCs w:val="0"/>
          <w:color w:val="000000" w:themeColor="text1"/>
        </w:rPr>
        <w:t xml:space="preserve">Rather than using the default 0.50 decision threshold, tune the threshold using the Precision-Recall curve on the held-out test set. Missing a delinquent customer (false negative) is more costly than a false positive, so the threshold is set to maximise recall. At threshold 0.25 on the full dataset: overall flag rate 48%, overall recall 78.8%.</w:t>
      </w:r>
      <w:r>
        <w:rPr>
          <w:rFonts w:ascii="Arial" w:hAnsi="Arial" w:cs="Arial"/>
          <w:i w:val="0"/>
          <w:iCs w:val="0"/>
          <w:color w:val="000000" w:themeColor="text1"/>
        </w:rPr>
        <w:br/>
      </w:r>
      <w:r>
        <w:rPr>
          <w:rFonts w:ascii="Courier New" w:hAnsi="Courier New" w:cs="Courier New"/>
          <w:i w:val="0"/>
          <w:iCs w:val="0"/>
          <w:color w:val="000000" w:themeColor="text1"/>
        </w:rPr>
        <w:t xml:space="preserve">STEP 6 — OUTPUT</w:t>
      </w:r>
      <w:r>
        <w:rPr>
          <w:rFonts w:ascii="Courier New" w:hAnsi="Courier New" w:cs="Courier New"/>
          <w:i w:val="0"/>
          <w:iCs w:val="0"/>
          <w:color w:val="000000" w:themeColor="text1"/>
        </w:rPr>
        <w:t xml:space="preserve">For each customer the model outputs: (a) a continuous risk score between 0 and 1, and (b) a binary flag (at_risk = 1 if score ≥ threshold). Top feature importances: payment_score, total_missed, month4_bad, risk_flag_count, Credit_Utilization, Debt_to_Income_Ratio, and Missed_Payments — all consistent with EDA findings. Scores feed into Geldium’s Head of Collections as a prioritised intervention list, with human review required before any action is taken.</w:t>
      </w:r>
    </w:p>
    <w:p w14:paraId="35E39D13" w14:textId="77777777" w:rsidR="004B5529" w:rsidRPr="00E31114" w:rsidRDefault="00E31114">
      <w:pPr>
        <w:pStyle w:val="Heading1"/>
        <w:rPr>
          <w:rFonts w:ascii="Arial" w:hAnsi="Arial" w:cs="Arial"/>
          <w:i w:val="0"/>
          <w:iCs w:val="0"/>
          <w:color w:val="000000" w:themeColor="text1"/>
        </w:rPr>
      </w:pPr>
      <w:r>
        <w:rPr>
          <w:rFonts w:ascii="Arial" w:hAnsi="Arial" w:cs="Arial"/>
          <w:i w:val="0"/>
          <w:iCs w:val="0"/>
          <w:color w:val="000000" w:themeColor="text1"/>
        </w:rPr>
        <w:t>2. Justification for Model Choice</w:t>
      </w:r>
    </w:p>
    <w:p w14:paraId="780DB871" w14:textId="77777777" w:rsidR="004B5529" w:rsidRPr="00E31114" w:rsidRDefault="00E31114">
      <w:pPr>
        <w:rPr>
          <w:rFonts w:ascii="Arial" w:hAnsi="Arial" w:cs="Arial"/>
          <w:i w:val="0"/>
          <w:iCs w:val="0"/>
          <w:color w:val="000000" w:themeColor="text1"/>
        </w:rPr>
      </w:pPr>
      <w:r>
        <w:rPr>
          <w:rFonts w:ascii="Arial" w:hAnsi="Arial" w:cs="Arial"/>
          <w:i w:val="0"/>
          <w:iCs w:val="0"/>
          <w:color w:val="000000" w:themeColor="text1"/>
        </w:rPr>
        <w:t>Explain why you selected this specific model type (e.g., logistic regression, decision tree, neural network). Consider:</w:t>
        <w:br/>
        <w:t>- Accuracy</w:t>
        <w:br/>
        <w:t>- Transparency</w:t>
        <w:br/>
        <w:t>- Ease of use or implementation</w:t>
        <w:br/>
        <w:t>- Relevance for financial prediction</w:t>
        <w:br/>
        <w:t>- Suitability for Geldium’s business needs</w:t>
      </w:r>
    </w:p>
    <w:p w14:paraId="4169BF63" w14:textId="77777777" w:rsidR="004B5529" w:rsidRPr="00E31114" w:rsidRDefault="00E31114">
      <w:pPr>
        <w:rPr>
          <w:rFonts w:ascii="Arial" w:hAnsi="Arial" w:cs="Arial"/>
          <w:i w:val="0"/>
          <w:iCs w:val="0"/>
          <w:color w:val="000000" w:themeColor="text1"/>
        </w:rPr>
      </w:pPr>
      <w:r>
        <w:rPr>
          <w:rFonts w:ascii="Arial" w:hAnsi="Arial" w:cs="Arial"/>
          <w:i w:val="0"/>
          <w:iCs w:val="0"/>
          <w:color w:val="000000" w:themeColor="text1"/>
        </w:rPr>
        <w:br/>
      </w:r>
      <w:r>
        <w:rPr>
          <w:rFonts w:ascii="Arial" w:hAnsi="Arial" w:cs="Arial"/>
          <w:i w:val="0"/>
          <w:iCs w:val="0"/>
          <w:color w:val="000000" w:themeColor="text1"/>
        </w:rPr>
        <w:t xml:space="preserve">XGBoost (Extreme Gradient Boosting) was selected as the primary model for Geldium’s delinquency prediction task for five reasons grounded in the characteristics of this dataset and business context.</w:t>
      </w:r>
      <w:r>
        <w:rPr>
          <w:rFonts w:ascii="Arial" w:hAnsi="Arial" w:cs="Arial"/>
          <w:i w:val="0"/>
          <w:iCs w:val="0"/>
          <w:color w:val="000000" w:themeColor="text1"/>
        </w:rPr>
        <w:br/>
      </w:r>
      <w:r>
        <w:rPr>
          <w:rFonts w:ascii="Arial" w:hAnsi="Arial" w:cs="Arial"/>
          <w:i w:val="0"/>
          <w:iCs w:val="0"/>
          <w:color w:val="000000" w:themeColor="text1"/>
        </w:rPr>
        <w:t xml:space="preserve">1. Handles non-linear patterns natively. EDA revealed that the relationship between features and delinquency is non-linear throughout — Missed_Payments peaks at 5 but drops at 3 and 6; Credit_Score shows a counter-intuitive pattern where higher bands carry more delinquency risk; and risk stacking (4+ simultaneous flags) produces a 38.1% rate that cannot be captured by a linear model. XGBoost builds an ensemble of decision trees that model these complex relationships automatically.</w:t>
      </w:r>
      <w:r>
        <w:rPr>
          <w:rFonts w:ascii="Arial" w:hAnsi="Arial" w:cs="Arial"/>
          <w:i w:val="0"/>
          <w:iCs w:val="0"/>
          <w:color w:val="000000" w:themeColor="text1"/>
        </w:rPr>
        <w:br/>
      </w:r>
      <w:r>
        <w:rPr>
          <w:rFonts w:ascii="Arial" w:hAnsi="Arial" w:cs="Arial"/>
          <w:i w:val="0"/>
          <w:iCs w:val="0"/>
          <w:color w:val="000000" w:themeColor="text1"/>
        </w:rPr>
        <w:t xml:space="preserve">2. Robust to weak and noisy signal. Cross-validation benchmarking showed that all models — including Random Forest and Logistic Regression — achieve AUC values near 0.5 on this 500-row dataset. XGBoost’s regularisation parameters (subsample, colsample_bytree) and shallow tree depth (max_depth=2) constrain it to learn only the strongest signals, making it more reliable than deeper models in this low-data setting.</w:t>
      </w:r>
      <w:r>
        <w:rPr>
          <w:rFonts w:ascii="Arial" w:hAnsi="Arial" w:cs="Arial"/>
          <w:i w:val="0"/>
          <w:iCs w:val="0"/>
          <w:color w:val="000000" w:themeColor="text1"/>
        </w:rPr>
        <w:br/>
      </w:r>
      <w:r>
        <w:rPr>
          <w:rFonts w:ascii="Arial" w:hAnsi="Arial" w:cs="Arial"/>
          <w:i w:val="0"/>
          <w:iCs w:val="0"/>
          <w:color w:val="000000" w:themeColor="text1"/>
        </w:rPr>
        <w:t xml:space="preserve">3. Works well with class imbalance when combined with SMOTE. At 84% non-delinquent vs 16% delinquent, a naive model achieves 84% accuracy while catching zero delinquents. XGBoost combined with SMOTE oversampling on the training set addresses this directly. SMOTE generates synthetic examples that help the model learn richer decision boundaries for the minority class.</w:t>
      </w:r>
      <w:r>
        <w:rPr>
          <w:rFonts w:ascii="Arial" w:hAnsi="Arial" w:cs="Arial"/>
          <w:i w:val="0"/>
          <w:iCs w:val="0"/>
          <w:color w:val="000000" w:themeColor="text1"/>
        </w:rPr>
        <w:br/>
      </w:r>
      <w:r>
        <w:rPr>
          <w:rFonts w:ascii="Arial" w:hAnsi="Arial" w:cs="Arial"/>
          <w:i w:val="0"/>
          <w:iCs w:val="0"/>
          <w:color w:val="000000" w:themeColor="text1"/>
        </w:rPr>
        <w:t xml:space="preserve">4. Feature importance for transparency. XGBoost provides native feature importance scores identifying which variables drove each prediction, enabling the collections team to understand why a customer was flagged (e.g., “payment_score and month4_bad were the top drivers”). This supports compliance with ECOA/FCRA requirements for adverse action notices.</w:t>
      </w:r>
      <w:r>
        <w:rPr>
          <w:rFonts w:ascii="Arial" w:hAnsi="Arial" w:cs="Arial"/>
          <w:i w:val="0"/>
          <w:iCs w:val="0"/>
          <w:color w:val="000000" w:themeColor="text1"/>
        </w:rPr>
        <w:br/>
      </w:r>
      <w:r>
        <w:rPr>
          <w:rFonts w:ascii="Arial" w:hAnsi="Arial" w:cs="Arial"/>
          <w:i w:val="0"/>
          <w:iCs w:val="0"/>
          <w:color w:val="000000" w:themeColor="text1"/>
        </w:rPr>
        <w:t xml:space="preserve">5. Benchmark comparison confirmed XGBoost is the best available option. Signal Diagnosis was run before training to compare all four candidate models on cross-validated AUC and recall. XGBoost achieved the highest recall among all models tested, making it the most effective at catching delinquent customers — the primary business objective. A dummy classifier (random baseline) confirmed that any score above 0.5 represents genuine signal, however weak.</w:t>
      </w:r>
    </w:p>
    <w:p w14:paraId="10E007DE" w14:textId="77777777" w:rsidR="004B5529" w:rsidRPr="00E31114" w:rsidRDefault="00E31114">
      <w:pPr>
        <w:pStyle w:val="Heading1"/>
        <w:rPr>
          <w:rFonts w:ascii="Arial" w:hAnsi="Arial" w:cs="Arial"/>
          <w:i w:val="0"/>
          <w:iCs w:val="0"/>
          <w:color w:val="000000" w:themeColor="text1"/>
        </w:rPr>
      </w:pPr>
      <w:r>
        <w:rPr>
          <w:rFonts w:ascii="Arial" w:hAnsi="Arial" w:cs="Arial"/>
          <w:i w:val="0"/>
          <w:iCs w:val="0"/>
          <w:color w:val="000000" w:themeColor="text1"/>
        </w:rPr>
        <w:t>3. Evaluation Strategy</w:t>
      </w:r>
    </w:p>
    <w:p w14:paraId="7D9A8D63" w14:textId="77777777" w:rsidR="004B5529" w:rsidRPr="00E31114" w:rsidRDefault="00E31114">
      <w:pPr>
        <w:rPr>
          <w:rFonts w:ascii="Arial" w:hAnsi="Arial" w:cs="Arial"/>
          <w:i w:val="0"/>
          <w:iCs w:val="0"/>
          <w:color w:val="000000" w:themeColor="text1"/>
        </w:rPr>
      </w:pPr>
      <w:r>
        <w:rPr>
          <w:rFonts w:ascii="Arial" w:hAnsi="Arial" w:cs="Arial"/>
          <w:i w:val="0"/>
          <w:iCs w:val="0"/>
          <w:color w:val="000000" w:themeColor="text1"/>
        </w:rPr>
        <w:t>Outline how you would evaluate your model’s performance. Include:</w:t>
        <w:br/>
        <w:t>- Which metrics you would use (e.g., accuracy, precision, recall, F1 score, AUC)</w:t>
        <w:br/>
        <w:t>- How you would interpret those metrics</w:t>
        <w:br/>
        <w:t>- Any plans to detect or reduce bias in your model</w:t>
        <w:br/>
        <w:t>- Ethical considerations in making predictions about customer financial behavior</w:t>
      </w:r>
    </w:p>
    <w:p w14:paraId="2D2F0295" w14:textId="6D40A0EA" w:rsidR="004B5529" w:rsidRPr="00E31114" w:rsidRDefault="00E31114">
      <w:pPr>
        <w:rPr>
          <w:rFonts w:ascii="Arial" w:hAnsi="Arial" w:cs="Arial"/>
          <w:i w:val="0"/>
          <w:iCs w:val="0"/>
          <w:color w:val="000000" w:themeColor="text1"/>
        </w:rPr>
      </w:pPr>
      <w:r>
        <w:rPr>
          <w:rFonts w:ascii="Arial" w:hAnsi="Arial" w:cs="Arial"/>
          <w:i w:val="0"/>
          <w:iCs w:val="0"/>
          <w:color w:val="000000" w:themeColor="text1"/>
        </w:rPr>
        <w:br/>
      </w:r>
      <w:r>
        <w:rPr>
          <w:rFonts w:ascii="Arial" w:hAnsi="Arial" w:cs="Arial"/>
          <w:i w:val="0"/>
          <w:iCs w:val="0"/>
          <w:color w:val="000000" w:themeColor="text1"/>
        </w:rPr>
        <w:t xml:space="preserve">PERFORMANCE METRICS</w:t>
      </w:r>
      <w:r>
        <w:rPr>
          <w:rFonts w:ascii="Arial" w:hAnsi="Arial" w:cs="Arial"/>
          <w:i w:val="0"/>
          <w:iCs w:val="0"/>
          <w:color w:val="000000" w:themeColor="text1"/>
        </w:rPr>
        <w:t xml:space="preserve">The primary evaluation metric is Recall on the delinquent class (class 1). In a collections context, a false negative — failing to flag a customer who will become delinquent — is far more costly than a false positive. Overall accuracy is excluded as a primary metric because the 84/16 class split means a model predicting “not delinquent” for every customer achieves 84% accuracy while catching zero delinquents.</w:t>
      </w:r>
      <w:r>
        <w:rPr>
          <w:rFonts w:ascii="Arial" w:hAnsi="Arial" w:cs="Arial"/>
          <w:i w:val="0"/>
          <w:iCs w:val="0"/>
          <w:color w:val="000000" w:themeColor="text1"/>
        </w:rPr>
        <w:t xml:space="preserve">• Recall (sensitivity): proportion of actual delinquents correctly identified. Target ≥ 70% before any production consideration.</w:t>
        <w:br/>
        <w:t xml:space="preserve">• Precision: proportion of flagged customers who are actually delinquent. Indicates the cost of false alarms on the collections team’s workload.</w:t>
        <w:br/>
        <w:t xml:space="preserve">• F1 Score: harmonic mean of precision and recall.</w:t>
        <w:br/>
        <w:t xml:space="preserve">• AUC-ROC: area under the receiver operating characteristic curve; values near 0.5 indicate near-random performance. Current model AUC is in the 0.50–0.55 range.</w:t>
        <w:br/>
        <w:t xml:space="preserve">• Confusion matrix: raw counts of True Positives, False Positives, True Negatives, and False Negatives for the selected threshold.</w:t>
      </w:r>
      <w:r>
        <w:rPr>
          <w:rFonts w:ascii="Arial" w:hAnsi="Arial" w:cs="Arial"/>
          <w:i w:val="0"/>
          <w:iCs w:val="0"/>
          <w:color w:val="000000" w:themeColor="text1"/>
        </w:rPr>
        <w:br/>
      </w:r>
      <w:r>
        <w:rPr>
          <w:rFonts w:ascii="Arial" w:hAnsi="Arial" w:cs="Arial"/>
          <w:i w:val="0"/>
          <w:iCs w:val="0"/>
          <w:color w:val="000000" w:themeColor="text1"/>
        </w:rPr>
        <w:t xml:space="preserve">THRESHOLD SELECTION</w:t>
      </w:r>
      <w:r>
        <w:rPr>
          <w:rFonts w:ascii="Arial" w:hAnsi="Arial" w:cs="Arial"/>
          <w:i w:val="0"/>
          <w:iCs w:val="0"/>
          <w:color w:val="000000" w:themeColor="text1"/>
        </w:rPr>
        <w:t xml:space="preserve">The decision threshold is tuned using the Precision-Recall curve on the held-out test set. Rather than defaulting to 0.50, the threshold is set at the point that achieves at least 70% recall with the best achievable precision. This reflects the business’s preference for catching more delinquents even at the cost of some false alarms. At threshold 0.25, the model achieves 78.8% overall recall. Sensitivity analysis is run across thresholds 0.20 to 0.40 to show the precision-recall trade-off at each operating point.</w:t>
      </w:r>
      <w:r>
        <w:rPr>
          <w:rFonts w:ascii="Arial" w:hAnsi="Arial" w:cs="Arial"/>
          <w:i w:val="0"/>
          <w:iCs w:val="0"/>
          <w:color w:val="000000" w:themeColor="text1"/>
        </w:rPr>
        <w:br/>
      </w:r>
      <w:r>
        <w:rPr>
          <w:rFonts w:ascii="Arial" w:hAnsi="Arial" w:cs="Arial"/>
          <w:i w:val="0"/>
          <w:iCs w:val="0"/>
          <w:color w:val="000000" w:themeColor="text1"/>
        </w:rPr>
        <w:t xml:space="preserve">CROSS-VALIDATION</w:t>
      </w:r>
      <w:r>
        <w:rPr>
          <w:rFonts w:ascii="Arial" w:hAnsi="Arial" w:cs="Arial"/>
          <w:i w:val="0"/>
          <w:iCs w:val="0"/>
          <w:color w:val="000000" w:themeColor="text1"/>
        </w:rPr>
        <w:t xml:space="preserve">5-fold stratified cross-validation is used to estimate out-of-sample performance before committing to a model architecture. Stratification ensures each fold preserves the 16% delinquency rate. The Signal Diagnosis step runs cross-validation on all candidate models simultaneously, providing a benchmark that separates genuine model performance from random variation. Cross-validation confirmed that all models perform near-randomly (AUC ~0.5), meaning the dataset lacks sufficient signal for reliable prediction — a finding that must be disclosed to Geldium before any deployment decision.</w:t>
      </w:r>
      <w:r>
        <w:rPr>
          <w:rFonts w:ascii="Arial" w:hAnsi="Arial" w:cs="Arial"/>
          <w:i w:val="0"/>
          <w:iCs w:val="0"/>
          <w:color w:val="000000" w:themeColor="text1"/>
        </w:rPr>
        <w:br/>
      </w:r>
      <w:r>
        <w:rPr>
          <w:rFonts w:ascii="Arial" w:hAnsi="Arial" w:cs="Arial"/>
          <w:i w:val="0"/>
          <w:iCs w:val="0"/>
          <w:color w:val="000000" w:themeColor="text1"/>
        </w:rPr>
        <w:t xml:space="preserve">BIAS AND FAIRNESS EVALUATION</w:t>
      </w:r>
      <w:r>
        <w:rPr>
          <w:rFonts w:ascii="Arial" w:hAnsi="Arial" w:cs="Arial"/>
          <w:i w:val="0"/>
          <w:iCs w:val="0"/>
          <w:color w:val="000000" w:themeColor="text1"/>
        </w:rPr>
        <w:t xml:space="preserve">Fairness is evaluated using three complementary frameworks, applied across all 500 customers to maximise demographic group sample sizes:</w:t>
      </w:r>
      <w:r>
        <w:rPr>
          <w:rFonts w:ascii="Arial" w:hAnsi="Arial" w:cs="Arial"/>
          <w:i w:val="0"/>
          <w:iCs w:val="0"/>
          <w:color w:val="000000" w:themeColor="text1"/>
        </w:rPr>
        <w:t xml:space="preserve">• Disparate Impact Ratio (DIR): group flag rate divided by overall flag rate. DIR above 1.25 indicates over-flagging; below 0.80 indicates under-flagging. Regulatory thresholds under ECOA and FCRA require justification for adverse action where DIR exceeds these bounds. Current findings: customers aged 46–60 are over-flagged at DIR 1.42; customers aged 18–30 and Standard card holders are under-flagged at DIR 0.67 and 0.63 respectively. Both disparities are statistically significant (p &lt; 0.001).</w:t>
        <w:br/>
        <w:t xml:space="preserve">• Equal Opportunity (Recall parity): checks whether delinquent customers in each group are caught at equal rates. The model shows a 43-percentage-point recall gap between the 46–60 age group (97% recall) and the 18–30 group (53% recall) — young delinquents are being systematically missed.</w:t>
        <w:br/>
        <w:t xml:space="preserve">• False Positive Rate parity: customers aged 46–60 have a false positive rate of 60.2%, meaning 3 in 5 safe middle-aged customers are incorrectly flagged — disproportionately higher than any other age group.</w:t>
      </w:r>
      <w:r>
        <w:rPr>
          <w:rFonts w:ascii="Arial" w:hAnsi="Arial" w:cs="Arial"/>
          <w:i w:val="0"/>
          <w:iCs w:val="0"/>
          <w:color w:val="000000" w:themeColor="text1"/>
        </w:rPr>
        <w:br/>
      </w:r>
      <w:r>
        <w:rPr>
          <w:rFonts w:ascii="Arial" w:hAnsi="Arial" w:cs="Arial"/>
          <w:i w:val="0"/>
          <w:iCs w:val="0"/>
          <w:color w:val="000000" w:themeColor="text1"/>
        </w:rPr>
        <w:t xml:space="preserve">ETHICAL CONSIDERATIONS</w:t>
      </w:r>
      <w:r>
        <w:rPr>
          <w:rFonts w:ascii="Arial" w:hAnsi="Arial" w:cs="Arial"/>
          <w:i w:val="0"/>
          <w:iCs w:val="0"/>
          <w:color w:val="000000" w:themeColor="text1"/>
        </w:rPr>
        <w:t xml:space="preserve">• Human review is mandatory for every flagged customer. No automated collections actions should be triggered solely on the model’s output. The model is a prioritisation tool, not a decision-maker.</w:t>
        <w:br/>
        <w:t xml:space="preserve">• The bias findings must be disclosed to Geldium’s compliance and legal teams before deployment. Age-based disparities at DIR 1.42 require explicit justification under ECOA, which prohibits adverse action in credit decisions based on age.</w:t>
        <w:br/>
        <w:t xml:space="preserve">• The model is not production-ready in its current form. All candidate models achieve AUC near 0.5, confirming near-random performance. Deploying a random-performing model would expose Geldium to financial loss and legal risk.</w:t>
        <w:br/>
        <w:t xml:space="preserve">• Before retraining, Geldium should collect at least 5,000 customer records with 500+ confirmed delinquency cases, add transaction-level behavioural data, and verify the timing of the Delinquent_Account target variable.</w:t>
        <w:br/>
        <w:t xml:space="preserve">• For the next model version, fairness constraints (demographic parity or equalised odds) should be added to the training objective so the model is penalised for producing disparate flag rates across protected demographic groups.</w:t>
      </w:r>
    </w:p>
    <w:sectPr w:rsidR="004B5529" w:rsidRPr="00E31114"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93FDF" w14:textId="77777777" w:rsidR="00E31114" w:rsidRDefault="00E31114" w:rsidP="00E31114">
      <w:pPr>
        <w:spacing w:after="0" w:line="240" w:lineRule="auto"/>
      </w:pPr>
      <w:r>
        <w:separator/>
      </w:r>
    </w:p>
  </w:endnote>
  <w:endnote w:type="continuationSeparator" w:id="0">
    <w:p w14:paraId="45D9DEED" w14:textId="77777777" w:rsidR="00E31114" w:rsidRDefault="00E31114" w:rsidP="00E31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6222F" w14:textId="77777777" w:rsidR="00E31114" w:rsidRDefault="00E31114" w:rsidP="00E31114">
      <w:pPr>
        <w:spacing w:after="0" w:line="240" w:lineRule="auto"/>
      </w:pPr>
      <w:r>
        <w:separator/>
      </w:r>
    </w:p>
  </w:footnote>
  <w:footnote w:type="continuationSeparator" w:id="0">
    <w:p w14:paraId="5357F110" w14:textId="77777777" w:rsidR="00E31114" w:rsidRDefault="00E31114" w:rsidP="00E311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517537">
    <w:abstractNumId w:val="8"/>
  </w:num>
  <w:num w:numId="2" w16cid:durableId="662591834">
    <w:abstractNumId w:val="6"/>
  </w:num>
  <w:num w:numId="3" w16cid:durableId="788158861">
    <w:abstractNumId w:val="5"/>
  </w:num>
  <w:num w:numId="4" w16cid:durableId="645207700">
    <w:abstractNumId w:val="4"/>
  </w:num>
  <w:num w:numId="5" w16cid:durableId="1573539268">
    <w:abstractNumId w:val="7"/>
  </w:num>
  <w:num w:numId="6" w16cid:durableId="206184450">
    <w:abstractNumId w:val="3"/>
  </w:num>
  <w:num w:numId="7" w16cid:durableId="1710837754">
    <w:abstractNumId w:val="2"/>
  </w:num>
  <w:num w:numId="8" w16cid:durableId="716853685">
    <w:abstractNumId w:val="1"/>
  </w:num>
  <w:num w:numId="9" w16cid:durableId="1352419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5529"/>
    <w:rsid w:val="008237CA"/>
    <w:rsid w:val="00AA1D8D"/>
    <w:rsid w:val="00B47730"/>
    <w:rsid w:val="00CB0664"/>
    <w:rsid w:val="00E311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94E744"/>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114"/>
    <w:rPr>
      <w:i/>
      <w:iCs/>
      <w:sz w:val="20"/>
      <w:szCs w:val="20"/>
    </w:rPr>
  </w:style>
  <w:style w:type="paragraph" w:styleId="Heading1">
    <w:name w:val="heading 1"/>
    <w:basedOn w:val="Normal"/>
    <w:next w:val="Normal"/>
    <w:link w:val="Heading1Char"/>
    <w:uiPriority w:val="9"/>
    <w:qFormat/>
    <w:rsid w:val="00E31114"/>
    <w:pPr>
      <w:pBdr>
        <w:top w:val="single" w:sz="8" w:space="0" w:color="B2B2B2" w:themeColor="accent2"/>
        <w:left w:val="single" w:sz="8" w:space="0" w:color="B2B2B2" w:themeColor="accent2"/>
        <w:bottom w:val="single" w:sz="8" w:space="0" w:color="B2B2B2" w:themeColor="accent2"/>
        <w:right w:val="single" w:sz="8" w:space="0" w:color="B2B2B2" w:themeColor="accent2"/>
      </w:pBdr>
      <w:shd w:val="clear" w:color="auto" w:fill="EFEFEF" w:themeFill="accent2" w:themeFillTint="33"/>
      <w:spacing w:before="480" w:after="100" w:line="269" w:lineRule="auto"/>
      <w:contextualSpacing/>
      <w:outlineLvl w:val="0"/>
    </w:pPr>
    <w:rPr>
      <w:rFonts w:asciiTheme="majorHAnsi" w:eastAsiaTheme="majorEastAsia" w:hAnsiTheme="majorHAnsi" w:cstheme="majorBidi"/>
      <w:b/>
      <w:bCs/>
      <w:color w:val="585858" w:themeColor="accent2" w:themeShade="7F"/>
      <w:sz w:val="22"/>
      <w:szCs w:val="22"/>
    </w:rPr>
  </w:style>
  <w:style w:type="paragraph" w:styleId="Heading2">
    <w:name w:val="heading 2"/>
    <w:basedOn w:val="Normal"/>
    <w:next w:val="Normal"/>
    <w:link w:val="Heading2Char"/>
    <w:uiPriority w:val="9"/>
    <w:unhideWhenUsed/>
    <w:qFormat/>
    <w:rsid w:val="00E31114"/>
    <w:pPr>
      <w:pBdr>
        <w:top w:val="single" w:sz="4" w:space="0" w:color="B2B2B2" w:themeColor="accent2"/>
        <w:left w:val="single" w:sz="48" w:space="2" w:color="B2B2B2" w:themeColor="accent2"/>
        <w:bottom w:val="single" w:sz="4" w:space="0" w:color="B2B2B2" w:themeColor="accent2"/>
        <w:right w:val="single" w:sz="4" w:space="4" w:color="B2B2B2" w:themeColor="accent2"/>
      </w:pBdr>
      <w:spacing w:before="200" w:after="100" w:line="269" w:lineRule="auto"/>
      <w:ind w:left="144"/>
      <w:contextualSpacing/>
      <w:outlineLvl w:val="1"/>
    </w:pPr>
    <w:rPr>
      <w:rFonts w:asciiTheme="majorHAnsi" w:eastAsiaTheme="majorEastAsia" w:hAnsiTheme="majorHAnsi" w:cstheme="majorBidi"/>
      <w:b/>
      <w:bCs/>
      <w:color w:val="858585" w:themeColor="accent2" w:themeShade="BF"/>
      <w:sz w:val="22"/>
      <w:szCs w:val="22"/>
    </w:rPr>
  </w:style>
  <w:style w:type="paragraph" w:styleId="Heading3">
    <w:name w:val="heading 3"/>
    <w:basedOn w:val="Normal"/>
    <w:next w:val="Normal"/>
    <w:link w:val="Heading3Char"/>
    <w:uiPriority w:val="9"/>
    <w:unhideWhenUsed/>
    <w:qFormat/>
    <w:rsid w:val="00E31114"/>
    <w:pPr>
      <w:pBdr>
        <w:left w:val="single" w:sz="48" w:space="2" w:color="B2B2B2" w:themeColor="accent2"/>
        <w:bottom w:val="single" w:sz="4" w:space="0" w:color="B2B2B2" w:themeColor="accent2"/>
      </w:pBdr>
      <w:spacing w:before="200" w:after="100" w:line="240" w:lineRule="auto"/>
      <w:ind w:left="144"/>
      <w:contextualSpacing/>
      <w:outlineLvl w:val="2"/>
    </w:pPr>
    <w:rPr>
      <w:rFonts w:asciiTheme="majorHAnsi" w:eastAsiaTheme="majorEastAsia" w:hAnsiTheme="majorHAnsi" w:cstheme="majorBidi"/>
      <w:b/>
      <w:bCs/>
      <w:color w:val="858585" w:themeColor="accent2" w:themeShade="BF"/>
      <w:sz w:val="22"/>
      <w:szCs w:val="22"/>
    </w:rPr>
  </w:style>
  <w:style w:type="paragraph" w:styleId="Heading4">
    <w:name w:val="heading 4"/>
    <w:basedOn w:val="Normal"/>
    <w:next w:val="Normal"/>
    <w:link w:val="Heading4Char"/>
    <w:uiPriority w:val="9"/>
    <w:semiHidden/>
    <w:unhideWhenUsed/>
    <w:qFormat/>
    <w:rsid w:val="00E31114"/>
    <w:pPr>
      <w:pBdr>
        <w:left w:val="single" w:sz="4" w:space="2" w:color="B2B2B2" w:themeColor="accent2"/>
        <w:bottom w:val="single" w:sz="4" w:space="2" w:color="B2B2B2" w:themeColor="accent2"/>
      </w:pBdr>
      <w:spacing w:before="200" w:after="100" w:line="240" w:lineRule="auto"/>
      <w:ind w:left="86"/>
      <w:contextualSpacing/>
      <w:outlineLvl w:val="3"/>
    </w:pPr>
    <w:rPr>
      <w:rFonts w:asciiTheme="majorHAnsi" w:eastAsiaTheme="majorEastAsia" w:hAnsiTheme="majorHAnsi" w:cstheme="majorBidi"/>
      <w:b/>
      <w:bCs/>
      <w:color w:val="858585" w:themeColor="accent2" w:themeShade="BF"/>
      <w:sz w:val="22"/>
      <w:szCs w:val="22"/>
    </w:rPr>
  </w:style>
  <w:style w:type="paragraph" w:styleId="Heading5">
    <w:name w:val="heading 5"/>
    <w:basedOn w:val="Normal"/>
    <w:next w:val="Normal"/>
    <w:link w:val="Heading5Char"/>
    <w:uiPriority w:val="9"/>
    <w:semiHidden/>
    <w:unhideWhenUsed/>
    <w:qFormat/>
    <w:rsid w:val="00E31114"/>
    <w:pPr>
      <w:pBdr>
        <w:left w:val="dotted" w:sz="4" w:space="2" w:color="B2B2B2" w:themeColor="accent2"/>
        <w:bottom w:val="dotted" w:sz="4" w:space="2" w:color="B2B2B2" w:themeColor="accent2"/>
      </w:pBdr>
      <w:spacing w:before="200" w:after="100" w:line="240" w:lineRule="auto"/>
      <w:ind w:left="86"/>
      <w:contextualSpacing/>
      <w:outlineLvl w:val="4"/>
    </w:pPr>
    <w:rPr>
      <w:rFonts w:asciiTheme="majorHAnsi" w:eastAsiaTheme="majorEastAsia" w:hAnsiTheme="majorHAnsi" w:cstheme="majorBidi"/>
      <w:b/>
      <w:bCs/>
      <w:color w:val="858585" w:themeColor="accent2" w:themeShade="BF"/>
      <w:sz w:val="22"/>
      <w:szCs w:val="22"/>
    </w:rPr>
  </w:style>
  <w:style w:type="paragraph" w:styleId="Heading6">
    <w:name w:val="heading 6"/>
    <w:basedOn w:val="Normal"/>
    <w:next w:val="Normal"/>
    <w:link w:val="Heading6Char"/>
    <w:uiPriority w:val="9"/>
    <w:semiHidden/>
    <w:unhideWhenUsed/>
    <w:qFormat/>
    <w:rsid w:val="00E31114"/>
    <w:pPr>
      <w:pBdr>
        <w:bottom w:val="single" w:sz="4" w:space="2" w:color="E0E0E0" w:themeColor="accent2" w:themeTint="66"/>
      </w:pBdr>
      <w:spacing w:before="200" w:after="100" w:line="240" w:lineRule="auto"/>
      <w:contextualSpacing/>
      <w:outlineLvl w:val="5"/>
    </w:pPr>
    <w:rPr>
      <w:rFonts w:asciiTheme="majorHAnsi" w:eastAsiaTheme="majorEastAsia" w:hAnsiTheme="majorHAnsi" w:cstheme="majorBidi"/>
      <w:color w:val="858585" w:themeColor="accent2" w:themeShade="BF"/>
      <w:sz w:val="22"/>
      <w:szCs w:val="22"/>
    </w:rPr>
  </w:style>
  <w:style w:type="paragraph" w:styleId="Heading7">
    <w:name w:val="heading 7"/>
    <w:basedOn w:val="Normal"/>
    <w:next w:val="Normal"/>
    <w:link w:val="Heading7Char"/>
    <w:uiPriority w:val="9"/>
    <w:semiHidden/>
    <w:unhideWhenUsed/>
    <w:qFormat/>
    <w:rsid w:val="00E31114"/>
    <w:pPr>
      <w:pBdr>
        <w:bottom w:val="dotted" w:sz="4" w:space="2" w:color="D0D0D0" w:themeColor="accent2" w:themeTint="99"/>
      </w:pBdr>
      <w:spacing w:before="200" w:after="100" w:line="240" w:lineRule="auto"/>
      <w:contextualSpacing/>
      <w:outlineLvl w:val="6"/>
    </w:pPr>
    <w:rPr>
      <w:rFonts w:asciiTheme="majorHAnsi" w:eastAsiaTheme="majorEastAsia" w:hAnsiTheme="majorHAnsi" w:cstheme="majorBidi"/>
      <w:color w:val="858585" w:themeColor="accent2" w:themeShade="BF"/>
      <w:sz w:val="22"/>
      <w:szCs w:val="22"/>
    </w:rPr>
  </w:style>
  <w:style w:type="paragraph" w:styleId="Heading8">
    <w:name w:val="heading 8"/>
    <w:basedOn w:val="Normal"/>
    <w:next w:val="Normal"/>
    <w:link w:val="Heading8Char"/>
    <w:uiPriority w:val="9"/>
    <w:semiHidden/>
    <w:unhideWhenUsed/>
    <w:qFormat/>
    <w:rsid w:val="00E31114"/>
    <w:pPr>
      <w:spacing w:before="200" w:after="100" w:line="240" w:lineRule="auto"/>
      <w:contextualSpacing/>
      <w:outlineLvl w:val="7"/>
    </w:pPr>
    <w:rPr>
      <w:rFonts w:asciiTheme="majorHAnsi" w:eastAsiaTheme="majorEastAsia" w:hAnsiTheme="majorHAnsi" w:cstheme="majorBidi"/>
      <w:color w:val="B2B2B2" w:themeColor="accent2"/>
      <w:sz w:val="22"/>
      <w:szCs w:val="22"/>
    </w:rPr>
  </w:style>
  <w:style w:type="paragraph" w:styleId="Heading9">
    <w:name w:val="heading 9"/>
    <w:basedOn w:val="Normal"/>
    <w:next w:val="Normal"/>
    <w:link w:val="Heading9Char"/>
    <w:uiPriority w:val="9"/>
    <w:semiHidden/>
    <w:unhideWhenUsed/>
    <w:qFormat/>
    <w:rsid w:val="00E31114"/>
    <w:pPr>
      <w:spacing w:before="200" w:after="100" w:line="240" w:lineRule="auto"/>
      <w:contextualSpacing/>
      <w:outlineLvl w:val="8"/>
    </w:pPr>
    <w:rPr>
      <w:rFonts w:asciiTheme="majorHAnsi" w:eastAsiaTheme="majorEastAsia" w:hAnsiTheme="majorHAnsi" w:cstheme="majorBidi"/>
      <w:color w:val="B2B2B2"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E31114"/>
    <w:pPr>
      <w:spacing w:after="0" w:line="240" w:lineRule="auto"/>
    </w:pPr>
  </w:style>
  <w:style w:type="character" w:customStyle="1" w:styleId="Heading1Char">
    <w:name w:val="Heading 1 Char"/>
    <w:basedOn w:val="DefaultParagraphFont"/>
    <w:link w:val="Heading1"/>
    <w:uiPriority w:val="9"/>
    <w:rsid w:val="00E31114"/>
    <w:rPr>
      <w:rFonts w:asciiTheme="majorHAnsi" w:eastAsiaTheme="majorEastAsia" w:hAnsiTheme="majorHAnsi" w:cstheme="majorBidi"/>
      <w:b/>
      <w:bCs/>
      <w:i/>
      <w:iCs/>
      <w:color w:val="585858" w:themeColor="accent2" w:themeShade="7F"/>
      <w:shd w:val="clear" w:color="auto" w:fill="EFEFEF" w:themeFill="accent2" w:themeFillTint="33"/>
    </w:rPr>
  </w:style>
  <w:style w:type="character" w:customStyle="1" w:styleId="Heading2Char">
    <w:name w:val="Heading 2 Char"/>
    <w:basedOn w:val="DefaultParagraphFont"/>
    <w:link w:val="Heading2"/>
    <w:uiPriority w:val="9"/>
    <w:rsid w:val="00E31114"/>
    <w:rPr>
      <w:rFonts w:asciiTheme="majorHAnsi" w:eastAsiaTheme="majorEastAsia" w:hAnsiTheme="majorHAnsi" w:cstheme="majorBidi"/>
      <w:b/>
      <w:bCs/>
      <w:i/>
      <w:iCs/>
      <w:color w:val="858585" w:themeColor="accent2" w:themeShade="BF"/>
    </w:rPr>
  </w:style>
  <w:style w:type="character" w:customStyle="1" w:styleId="Heading3Char">
    <w:name w:val="Heading 3 Char"/>
    <w:basedOn w:val="DefaultParagraphFont"/>
    <w:link w:val="Heading3"/>
    <w:uiPriority w:val="9"/>
    <w:rsid w:val="00E31114"/>
    <w:rPr>
      <w:rFonts w:asciiTheme="majorHAnsi" w:eastAsiaTheme="majorEastAsia" w:hAnsiTheme="majorHAnsi" w:cstheme="majorBidi"/>
      <w:b/>
      <w:bCs/>
      <w:i/>
      <w:iCs/>
      <w:color w:val="858585" w:themeColor="accent2" w:themeShade="BF"/>
    </w:rPr>
  </w:style>
  <w:style w:type="paragraph" w:styleId="Title">
    <w:name w:val="Title"/>
    <w:basedOn w:val="Normal"/>
    <w:next w:val="Normal"/>
    <w:link w:val="TitleChar"/>
    <w:uiPriority w:val="10"/>
    <w:qFormat/>
    <w:rsid w:val="00E31114"/>
    <w:pPr>
      <w:pBdr>
        <w:top w:val="single" w:sz="48" w:space="0" w:color="B2B2B2" w:themeColor="accent2"/>
        <w:bottom w:val="single" w:sz="48" w:space="0" w:color="B2B2B2" w:themeColor="accent2"/>
      </w:pBdr>
      <w:shd w:val="clear" w:color="auto" w:fill="B2B2B2"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E31114"/>
    <w:rPr>
      <w:rFonts w:asciiTheme="majorHAnsi" w:eastAsiaTheme="majorEastAsia" w:hAnsiTheme="majorHAnsi" w:cstheme="majorBidi"/>
      <w:i/>
      <w:iCs/>
      <w:color w:val="FFFFFF" w:themeColor="background1"/>
      <w:spacing w:val="10"/>
      <w:sz w:val="48"/>
      <w:szCs w:val="48"/>
      <w:shd w:val="clear" w:color="auto" w:fill="B2B2B2" w:themeFill="accent2"/>
    </w:rPr>
  </w:style>
  <w:style w:type="paragraph" w:styleId="Subtitle">
    <w:name w:val="Subtitle"/>
    <w:basedOn w:val="Normal"/>
    <w:next w:val="Normal"/>
    <w:link w:val="SubtitleChar"/>
    <w:uiPriority w:val="11"/>
    <w:qFormat/>
    <w:rsid w:val="00E31114"/>
    <w:pPr>
      <w:pBdr>
        <w:bottom w:val="dotted" w:sz="8" w:space="10" w:color="B2B2B2" w:themeColor="accent2"/>
      </w:pBdr>
      <w:spacing w:before="200" w:after="900" w:line="240" w:lineRule="auto"/>
      <w:jc w:val="center"/>
    </w:pPr>
    <w:rPr>
      <w:rFonts w:asciiTheme="majorHAnsi" w:eastAsiaTheme="majorEastAsia" w:hAnsiTheme="majorHAnsi" w:cstheme="majorBidi"/>
      <w:color w:val="585858" w:themeColor="accent2" w:themeShade="7F"/>
      <w:sz w:val="24"/>
      <w:szCs w:val="24"/>
    </w:rPr>
  </w:style>
  <w:style w:type="character" w:customStyle="1" w:styleId="SubtitleChar">
    <w:name w:val="Subtitle Char"/>
    <w:basedOn w:val="DefaultParagraphFont"/>
    <w:link w:val="Subtitle"/>
    <w:uiPriority w:val="11"/>
    <w:rsid w:val="00E31114"/>
    <w:rPr>
      <w:rFonts w:asciiTheme="majorHAnsi" w:eastAsiaTheme="majorEastAsia" w:hAnsiTheme="majorHAnsi" w:cstheme="majorBidi"/>
      <w:i/>
      <w:iCs/>
      <w:color w:val="585858" w:themeColor="accent2" w:themeShade="7F"/>
      <w:sz w:val="24"/>
      <w:szCs w:val="24"/>
    </w:rPr>
  </w:style>
  <w:style w:type="paragraph" w:styleId="ListParagraph">
    <w:name w:val="List Paragraph"/>
    <w:basedOn w:val="Normal"/>
    <w:uiPriority w:val="34"/>
    <w:qFormat/>
    <w:rsid w:val="00E31114"/>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31114"/>
    <w:rPr>
      <w:i w:val="0"/>
      <w:iCs w:val="0"/>
      <w:color w:val="858585" w:themeColor="accent2" w:themeShade="BF"/>
    </w:rPr>
  </w:style>
  <w:style w:type="character" w:customStyle="1" w:styleId="QuoteChar">
    <w:name w:val="Quote Char"/>
    <w:basedOn w:val="DefaultParagraphFont"/>
    <w:link w:val="Quote"/>
    <w:uiPriority w:val="29"/>
    <w:rsid w:val="00E31114"/>
    <w:rPr>
      <w:color w:val="858585" w:themeColor="accent2" w:themeShade="BF"/>
      <w:sz w:val="20"/>
      <w:szCs w:val="20"/>
    </w:rPr>
  </w:style>
  <w:style w:type="character" w:customStyle="1" w:styleId="Heading4Char">
    <w:name w:val="Heading 4 Char"/>
    <w:basedOn w:val="DefaultParagraphFont"/>
    <w:link w:val="Heading4"/>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5Char">
    <w:name w:val="Heading 5 Char"/>
    <w:basedOn w:val="DefaultParagraphFont"/>
    <w:link w:val="Heading5"/>
    <w:uiPriority w:val="9"/>
    <w:semiHidden/>
    <w:rsid w:val="00E31114"/>
    <w:rPr>
      <w:rFonts w:asciiTheme="majorHAnsi" w:eastAsiaTheme="majorEastAsia" w:hAnsiTheme="majorHAnsi" w:cstheme="majorBidi"/>
      <w:b/>
      <w:bCs/>
      <w:i/>
      <w:iCs/>
      <w:color w:val="858585" w:themeColor="accent2" w:themeShade="BF"/>
    </w:rPr>
  </w:style>
  <w:style w:type="character" w:customStyle="1" w:styleId="Heading6Char">
    <w:name w:val="Heading 6 Char"/>
    <w:basedOn w:val="DefaultParagraphFont"/>
    <w:link w:val="Heading6"/>
    <w:uiPriority w:val="9"/>
    <w:semiHidden/>
    <w:rsid w:val="00E31114"/>
    <w:rPr>
      <w:rFonts w:asciiTheme="majorHAnsi" w:eastAsiaTheme="majorEastAsia" w:hAnsiTheme="majorHAnsi" w:cstheme="majorBidi"/>
      <w:i/>
      <w:iCs/>
      <w:color w:val="858585" w:themeColor="accent2" w:themeShade="BF"/>
    </w:rPr>
  </w:style>
  <w:style w:type="character" w:customStyle="1" w:styleId="Heading7Char">
    <w:name w:val="Heading 7 Char"/>
    <w:basedOn w:val="DefaultParagraphFont"/>
    <w:link w:val="Heading7"/>
    <w:uiPriority w:val="9"/>
    <w:semiHidden/>
    <w:rsid w:val="00E31114"/>
    <w:rPr>
      <w:rFonts w:asciiTheme="majorHAnsi" w:eastAsiaTheme="majorEastAsia" w:hAnsiTheme="majorHAnsi" w:cstheme="majorBidi"/>
      <w:i/>
      <w:iCs/>
      <w:color w:val="858585" w:themeColor="accent2" w:themeShade="BF"/>
    </w:rPr>
  </w:style>
  <w:style w:type="character" w:customStyle="1" w:styleId="Heading8Char">
    <w:name w:val="Heading 8 Char"/>
    <w:basedOn w:val="DefaultParagraphFont"/>
    <w:link w:val="Heading8"/>
    <w:uiPriority w:val="9"/>
    <w:semiHidden/>
    <w:rsid w:val="00E31114"/>
    <w:rPr>
      <w:rFonts w:asciiTheme="majorHAnsi" w:eastAsiaTheme="majorEastAsia" w:hAnsiTheme="majorHAnsi" w:cstheme="majorBidi"/>
      <w:i/>
      <w:iCs/>
      <w:color w:val="B2B2B2" w:themeColor="accent2"/>
    </w:rPr>
  </w:style>
  <w:style w:type="character" w:customStyle="1" w:styleId="Heading9Char">
    <w:name w:val="Heading 9 Char"/>
    <w:basedOn w:val="DefaultParagraphFont"/>
    <w:link w:val="Heading9"/>
    <w:uiPriority w:val="9"/>
    <w:semiHidden/>
    <w:rsid w:val="00E31114"/>
    <w:rPr>
      <w:rFonts w:asciiTheme="majorHAnsi" w:eastAsiaTheme="majorEastAsia" w:hAnsiTheme="majorHAnsi" w:cstheme="majorBidi"/>
      <w:i/>
      <w:iCs/>
      <w:color w:val="B2B2B2" w:themeColor="accent2"/>
      <w:sz w:val="20"/>
      <w:szCs w:val="20"/>
    </w:rPr>
  </w:style>
  <w:style w:type="paragraph" w:styleId="Caption">
    <w:name w:val="caption"/>
    <w:basedOn w:val="Normal"/>
    <w:next w:val="Normal"/>
    <w:uiPriority w:val="35"/>
    <w:semiHidden/>
    <w:unhideWhenUsed/>
    <w:qFormat/>
    <w:rsid w:val="00E31114"/>
    <w:rPr>
      <w:b/>
      <w:bCs/>
      <w:color w:val="858585" w:themeColor="accent2" w:themeShade="BF"/>
      <w:sz w:val="18"/>
      <w:szCs w:val="18"/>
    </w:rPr>
  </w:style>
  <w:style w:type="character" w:styleId="Strong">
    <w:name w:val="Strong"/>
    <w:uiPriority w:val="22"/>
    <w:qFormat/>
    <w:rsid w:val="00E31114"/>
    <w:rPr>
      <w:b/>
      <w:bCs/>
      <w:spacing w:val="0"/>
    </w:rPr>
  </w:style>
  <w:style w:type="character" w:styleId="Emphasis">
    <w:name w:val="Emphasis"/>
    <w:uiPriority w:val="20"/>
    <w:qFormat/>
    <w:rsid w:val="00E31114"/>
    <w:rPr>
      <w:rFonts w:asciiTheme="majorHAnsi" w:eastAsiaTheme="majorEastAsia" w:hAnsiTheme="majorHAnsi" w:cstheme="majorBidi"/>
      <w:b/>
      <w:bCs/>
      <w:i/>
      <w:iCs/>
      <w:color w:val="B2B2B2" w:themeColor="accent2"/>
      <w:bdr w:val="single" w:sz="18" w:space="0" w:color="EFEFEF" w:themeColor="accent2" w:themeTint="33"/>
      <w:shd w:val="clear" w:color="auto" w:fill="EFEFEF" w:themeFill="accent2" w:themeFillTint="33"/>
    </w:rPr>
  </w:style>
  <w:style w:type="paragraph" w:styleId="IntenseQuote">
    <w:name w:val="Intense Quote"/>
    <w:basedOn w:val="Normal"/>
    <w:next w:val="Normal"/>
    <w:link w:val="IntenseQuoteChar"/>
    <w:uiPriority w:val="30"/>
    <w:qFormat/>
    <w:rsid w:val="00E31114"/>
    <w:pPr>
      <w:pBdr>
        <w:top w:val="dotted" w:sz="8" w:space="10" w:color="B2B2B2" w:themeColor="accent2"/>
        <w:bottom w:val="dotted" w:sz="8" w:space="10" w:color="B2B2B2" w:themeColor="accent2"/>
      </w:pBdr>
      <w:spacing w:line="300" w:lineRule="auto"/>
      <w:ind w:left="2160" w:right="2160"/>
      <w:jc w:val="center"/>
    </w:pPr>
    <w:rPr>
      <w:rFonts w:asciiTheme="majorHAnsi" w:eastAsiaTheme="majorEastAsia" w:hAnsiTheme="majorHAnsi" w:cstheme="majorBidi"/>
      <w:b/>
      <w:bCs/>
      <w:color w:val="B2B2B2" w:themeColor="accent2"/>
    </w:rPr>
  </w:style>
  <w:style w:type="character" w:customStyle="1" w:styleId="IntenseQuoteChar">
    <w:name w:val="Intense Quote Char"/>
    <w:basedOn w:val="DefaultParagraphFont"/>
    <w:link w:val="IntenseQuote"/>
    <w:uiPriority w:val="30"/>
    <w:rsid w:val="00E31114"/>
    <w:rPr>
      <w:rFonts w:asciiTheme="majorHAnsi" w:eastAsiaTheme="majorEastAsia" w:hAnsiTheme="majorHAnsi" w:cstheme="majorBidi"/>
      <w:b/>
      <w:bCs/>
      <w:i/>
      <w:iCs/>
      <w:color w:val="B2B2B2" w:themeColor="accent2"/>
      <w:sz w:val="20"/>
      <w:szCs w:val="20"/>
    </w:rPr>
  </w:style>
  <w:style w:type="character" w:styleId="SubtleEmphasis">
    <w:name w:val="Subtle Emphasis"/>
    <w:uiPriority w:val="19"/>
    <w:qFormat/>
    <w:rsid w:val="00E31114"/>
    <w:rPr>
      <w:rFonts w:asciiTheme="majorHAnsi" w:eastAsiaTheme="majorEastAsia" w:hAnsiTheme="majorHAnsi" w:cstheme="majorBidi"/>
      <w:i/>
      <w:iCs/>
      <w:color w:val="B2B2B2" w:themeColor="accent2"/>
    </w:rPr>
  </w:style>
  <w:style w:type="character" w:styleId="IntenseEmphasis">
    <w:name w:val="Intense Emphasis"/>
    <w:uiPriority w:val="21"/>
    <w:qFormat/>
    <w:rsid w:val="00E31114"/>
    <w:rPr>
      <w:rFonts w:asciiTheme="majorHAnsi" w:eastAsiaTheme="majorEastAsia" w:hAnsiTheme="majorHAnsi" w:cstheme="majorBidi"/>
      <w:b/>
      <w:bCs/>
      <w:i/>
      <w:iCs/>
      <w:dstrike w:val="0"/>
      <w:color w:val="FFFFFF" w:themeColor="background1"/>
      <w:bdr w:val="single" w:sz="18" w:space="0" w:color="B2B2B2" w:themeColor="accent2"/>
      <w:shd w:val="clear" w:color="auto" w:fill="B2B2B2" w:themeFill="accent2"/>
      <w:vertAlign w:val="baseline"/>
    </w:rPr>
  </w:style>
  <w:style w:type="character" w:styleId="SubtleReference">
    <w:name w:val="Subtle Reference"/>
    <w:uiPriority w:val="31"/>
    <w:qFormat/>
    <w:rsid w:val="00E31114"/>
    <w:rPr>
      <w:i/>
      <w:iCs/>
      <w:smallCaps/>
      <w:color w:val="B2B2B2" w:themeColor="accent2"/>
      <w:u w:color="B2B2B2" w:themeColor="accent2"/>
    </w:rPr>
  </w:style>
  <w:style w:type="character" w:styleId="IntenseReference">
    <w:name w:val="Intense Reference"/>
    <w:uiPriority w:val="32"/>
    <w:qFormat/>
    <w:rsid w:val="00E31114"/>
    <w:rPr>
      <w:b/>
      <w:bCs/>
      <w:i/>
      <w:iCs/>
      <w:smallCaps/>
      <w:color w:val="B2B2B2" w:themeColor="accent2"/>
      <w:u w:color="B2B2B2" w:themeColor="accent2"/>
    </w:rPr>
  </w:style>
  <w:style w:type="character" w:styleId="BookTitle">
    <w:name w:val="Book Title"/>
    <w:uiPriority w:val="33"/>
    <w:qFormat/>
    <w:rsid w:val="00E31114"/>
    <w:rPr>
      <w:rFonts w:asciiTheme="majorHAnsi" w:eastAsiaTheme="majorEastAsia" w:hAnsiTheme="majorHAnsi" w:cstheme="majorBidi"/>
      <w:b/>
      <w:bCs/>
      <w:i/>
      <w:iCs/>
      <w:smallCaps/>
      <w:color w:val="858585" w:themeColor="accent2" w:themeShade="BF"/>
      <w:u w:val="single"/>
    </w:rPr>
  </w:style>
  <w:style w:type="paragraph" w:styleId="TOCHeading">
    <w:name w:val="TOC Heading"/>
    <w:basedOn w:val="Heading1"/>
    <w:next w:val="Normal"/>
    <w:uiPriority w:val="39"/>
    <w:semiHidden/>
    <w:unhideWhenUsed/>
    <w:qFormat/>
    <w:rsid w:val="00E3111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lastRow">
      <w:pPr>
        <w:spacing w:before="0" w:after="0" w:line="240" w:lineRule="auto"/>
      </w:pPr>
      <w:rPr>
        <w:b/>
        <w:bCs/>
      </w:rPr>
      <w:tblPr/>
      <w:tcPr>
        <w:tcBorders>
          <w:top w:val="single" w:sz="8" w:space="0" w:color="DDDDDD" w:themeColor="accent1"/>
          <w:left w:val="nil"/>
          <w:bottom w:val="single" w:sz="8" w:space="0" w:color="DDDDD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left w:val="nil"/>
          <w:right w:val="nil"/>
          <w:insideH w:val="nil"/>
          <w:insideV w:val="nil"/>
        </w:tcBorders>
        <w:shd w:val="clear" w:color="auto" w:fill="F6F6F6" w:themeFill="accent1" w:themeFillTint="3F"/>
      </w:tcPr>
    </w:tblStylePr>
  </w:style>
  <w:style w:type="table" w:styleId="LightShading-Accent2">
    <w:name w:val="Light Shading Accent 2"/>
    <w:basedOn w:val="TableNormal"/>
    <w:uiPriority w:val="60"/>
    <w:rsid w:val="00FC693F"/>
    <w:pPr>
      <w:spacing w:after="0" w:line="240" w:lineRule="auto"/>
    </w:pPr>
    <w:rPr>
      <w:color w:val="858585" w:themeColor="accent2" w:themeShade="BF"/>
    </w:rPr>
    <w:tblPr>
      <w:tblStyleRowBandSize w:val="1"/>
      <w:tblStyleColBandSize w:val="1"/>
      <w:tblBorders>
        <w:top w:val="single" w:sz="8" w:space="0" w:color="B2B2B2" w:themeColor="accent2"/>
        <w:bottom w:val="single" w:sz="8" w:space="0" w:color="B2B2B2" w:themeColor="accent2"/>
      </w:tblBorders>
    </w:tblPr>
    <w:tblStylePr w:type="fir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lastRow">
      <w:pPr>
        <w:spacing w:before="0" w:after="0" w:line="240" w:lineRule="auto"/>
      </w:pPr>
      <w:rPr>
        <w:b/>
        <w:bCs/>
      </w:rPr>
      <w:tblPr/>
      <w:tcPr>
        <w:tcBorders>
          <w:top w:val="single" w:sz="8" w:space="0" w:color="B2B2B2" w:themeColor="accent2"/>
          <w:left w:val="nil"/>
          <w:bottom w:val="single" w:sz="8" w:space="0" w:color="B2B2B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left w:val="nil"/>
          <w:right w:val="nil"/>
          <w:insideH w:val="nil"/>
          <w:insideV w:val="nil"/>
        </w:tcBorders>
        <w:shd w:val="clear" w:color="auto" w:fill="EBEBEB" w:themeFill="accent2" w:themeFillTint="3F"/>
      </w:tcPr>
    </w:tblStylePr>
  </w:style>
  <w:style w:type="table" w:styleId="LightShading-Accent3">
    <w:name w:val="Light Shading Accent 3"/>
    <w:basedOn w:val="TableNormal"/>
    <w:uiPriority w:val="60"/>
    <w:rsid w:val="00FC693F"/>
    <w:pPr>
      <w:spacing w:after="0" w:line="240" w:lineRule="auto"/>
    </w:pPr>
    <w:rPr>
      <w:color w:val="707070" w:themeColor="accent3" w:themeShade="BF"/>
    </w:rPr>
    <w:tblPr>
      <w:tblStyleRowBandSize w:val="1"/>
      <w:tblStyleColBandSize w:val="1"/>
      <w:tblBorders>
        <w:top w:val="single" w:sz="8" w:space="0" w:color="969696" w:themeColor="accent3"/>
        <w:bottom w:val="single" w:sz="8" w:space="0" w:color="969696" w:themeColor="accent3"/>
      </w:tblBorders>
    </w:tblPr>
    <w:tblStylePr w:type="fir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lastRow">
      <w:pPr>
        <w:spacing w:before="0" w:after="0" w:line="240" w:lineRule="auto"/>
      </w:pPr>
      <w:rPr>
        <w:b/>
        <w:bCs/>
      </w:rPr>
      <w:tblPr/>
      <w:tcPr>
        <w:tcBorders>
          <w:top w:val="single" w:sz="8" w:space="0" w:color="969696" w:themeColor="accent3"/>
          <w:left w:val="nil"/>
          <w:bottom w:val="single" w:sz="8" w:space="0" w:color="969696"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left w:val="nil"/>
          <w:right w:val="nil"/>
          <w:insideH w:val="nil"/>
          <w:insideV w:val="nil"/>
        </w:tcBorders>
        <w:shd w:val="clear" w:color="auto" w:fill="E5E5E5" w:themeFill="accent3" w:themeFillTint="3F"/>
      </w:tcPr>
    </w:tblStylePr>
  </w:style>
  <w:style w:type="table" w:styleId="LightShading-Accent4">
    <w:name w:val="Light Shading Accent 4"/>
    <w:basedOn w:val="TableNormal"/>
    <w:uiPriority w:val="60"/>
    <w:rsid w:val="00FC693F"/>
    <w:pPr>
      <w:spacing w:after="0" w:line="240" w:lineRule="auto"/>
    </w:pPr>
    <w:rPr>
      <w:color w:val="5F5F5F" w:themeColor="accent4" w:themeShade="BF"/>
    </w:rPr>
    <w:tblPr>
      <w:tblStyleRowBandSize w:val="1"/>
      <w:tblStyleColBandSize w:val="1"/>
      <w:tblBorders>
        <w:top w:val="single" w:sz="8" w:space="0" w:color="808080" w:themeColor="accent4"/>
        <w:bottom w:val="single" w:sz="8" w:space="0" w:color="808080" w:themeColor="accent4"/>
      </w:tblBorders>
    </w:tblPr>
    <w:tblStylePr w:type="fir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lastRow">
      <w:pPr>
        <w:spacing w:before="0" w:after="0" w:line="240" w:lineRule="auto"/>
      </w:pPr>
      <w:rPr>
        <w:b/>
        <w:bCs/>
      </w:rPr>
      <w:tblPr/>
      <w:tcPr>
        <w:tcBorders>
          <w:top w:val="single" w:sz="8" w:space="0" w:color="808080" w:themeColor="accent4"/>
          <w:left w:val="nil"/>
          <w:bottom w:val="single" w:sz="8" w:space="0" w:color="80808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left w:val="nil"/>
          <w:right w:val="nil"/>
          <w:insideH w:val="nil"/>
          <w:insideV w:val="nil"/>
        </w:tcBorders>
        <w:shd w:val="clear" w:color="auto" w:fill="DFDFDF" w:themeFill="accent4" w:themeFillTint="3F"/>
      </w:tcPr>
    </w:tblStylePr>
  </w:style>
  <w:style w:type="table" w:styleId="LightShading-Accent5">
    <w:name w:val="Light Shading Accent 5"/>
    <w:basedOn w:val="TableNormal"/>
    <w:uiPriority w:val="60"/>
    <w:rsid w:val="00FC693F"/>
    <w:pPr>
      <w:spacing w:after="0" w:line="240" w:lineRule="auto"/>
    </w:pPr>
    <w:rPr>
      <w:color w:val="474747" w:themeColor="accent5" w:themeShade="BF"/>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rsid w:val="00FC693F"/>
    <w:pPr>
      <w:spacing w:after="0" w:line="240" w:lineRule="auto"/>
    </w:pPr>
    <w:rPr>
      <w:color w:val="393939" w:themeColor="accent6" w:themeShade="BF"/>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pPr>
        <w:spacing w:before="0" w:after="0" w:line="240" w:lineRule="auto"/>
      </w:pPr>
      <w:rPr>
        <w:b/>
        <w:bCs/>
        <w:color w:val="FFFFFF" w:themeColor="background1"/>
      </w:rPr>
      <w:tblPr/>
      <w:tcPr>
        <w:shd w:val="clear" w:color="auto" w:fill="969696" w:themeFill="accent3"/>
      </w:tcPr>
    </w:tblStylePr>
    <w:tblStylePr w:type="lastRow">
      <w:pPr>
        <w:spacing w:before="0" w:after="0" w:line="240" w:lineRule="auto"/>
      </w:pPr>
      <w:rPr>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tcBorders>
      </w:tcPr>
    </w:tblStylePr>
    <w:tblStylePr w:type="firstCol">
      <w:rPr>
        <w:b/>
        <w:bCs/>
      </w:rPr>
    </w:tblStylePr>
    <w:tblStylePr w:type="lastCol">
      <w:rPr>
        <w:b/>
        <w:bCs/>
      </w:r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pPr>
        <w:spacing w:before="0" w:after="0" w:line="240" w:lineRule="auto"/>
      </w:pPr>
      <w:rPr>
        <w:b/>
        <w:bCs/>
        <w:color w:val="FFFFFF" w:themeColor="background1"/>
      </w:rPr>
      <w:tblPr/>
      <w:tcPr>
        <w:shd w:val="clear" w:color="auto" w:fill="808080" w:themeFill="accent4"/>
      </w:tcPr>
    </w:tblStylePr>
    <w:tblStylePr w:type="lastRow">
      <w:pPr>
        <w:spacing w:before="0" w:after="0" w:line="240" w:lineRule="auto"/>
      </w:pPr>
      <w:rPr>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tcBorders>
      </w:tcPr>
    </w:tblStylePr>
    <w:tblStylePr w:type="firstCol">
      <w:rPr>
        <w:b/>
        <w:bCs/>
      </w:rPr>
    </w:tblStylePr>
    <w:tblStylePr w:type="lastCol">
      <w:rPr>
        <w:b/>
        <w:bCs/>
      </w:r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FFFFFF"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FFFFFF"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insideH w:val="nil"/>
          <w:insideV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DDDD" w:themeColor="accent1"/>
          <w:left w:val="single" w:sz="8" w:space="0" w:color="DDDDDD" w:themeColor="accent1"/>
          <w:bottom w:val="single" w:sz="8" w:space="0" w:color="DDDDDD" w:themeColor="accent1"/>
          <w:right w:val="single" w:sz="8" w:space="0" w:color="DDDDDD" w:themeColor="accent1"/>
          <w:insideH w:val="nil"/>
          <w:insideV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insideV w:val="single" w:sz="8" w:space="0" w:color="DDDDD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18" w:space="0" w:color="B2B2B2" w:themeColor="accent2"/>
          <w:right w:val="single" w:sz="8" w:space="0" w:color="B2B2B2" w:themeColor="accent2"/>
          <w:insideH w:val="nil"/>
          <w:insideV w:val="single" w:sz="8" w:space="0" w:color="B2B2B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insideH w:val="nil"/>
          <w:insideV w:val="single" w:sz="8" w:space="0" w:color="B2B2B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shd w:val="clear" w:color="auto" w:fill="EBEBEB" w:themeFill="accent2" w:themeFillTint="3F"/>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shd w:val="clear" w:color="auto" w:fill="EBEBEB" w:themeFill="accent2" w:themeFillTint="3F"/>
      </w:tcPr>
    </w:tblStylePr>
    <w:tblStylePr w:type="band2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insideV w:val="single" w:sz="8" w:space="0" w:color="B2B2B2"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18" w:space="0" w:color="969696" w:themeColor="accent3"/>
          <w:right w:val="single" w:sz="8" w:space="0" w:color="969696" w:themeColor="accent3"/>
          <w:insideH w:val="nil"/>
          <w:insideV w:val="single" w:sz="8" w:space="0" w:color="969696"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3"/>
          <w:left w:val="single" w:sz="8" w:space="0" w:color="969696" w:themeColor="accent3"/>
          <w:bottom w:val="single" w:sz="8" w:space="0" w:color="969696" w:themeColor="accent3"/>
          <w:right w:val="single" w:sz="8" w:space="0" w:color="969696" w:themeColor="accent3"/>
          <w:insideH w:val="nil"/>
          <w:insideV w:val="single" w:sz="8" w:space="0" w:color="969696"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tcPr>
    </w:tblStylePr>
    <w:tblStylePr w:type="band1Vert">
      <w:tblPr/>
      <w:tcPr>
        <w:tcBorders>
          <w:top w:val="single" w:sz="8" w:space="0" w:color="969696" w:themeColor="accent3"/>
          <w:left w:val="single" w:sz="8" w:space="0" w:color="969696" w:themeColor="accent3"/>
          <w:bottom w:val="single" w:sz="8" w:space="0" w:color="969696" w:themeColor="accent3"/>
          <w:right w:val="single" w:sz="8" w:space="0" w:color="969696" w:themeColor="accent3"/>
        </w:tcBorders>
        <w:shd w:val="clear" w:color="auto" w:fill="E5E5E5" w:themeFill="accent3" w:themeFillTint="3F"/>
      </w:tcPr>
    </w:tblStylePr>
    <w:tblStylePr w:type="band1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shd w:val="clear" w:color="auto" w:fill="E5E5E5" w:themeFill="accent3" w:themeFillTint="3F"/>
      </w:tcPr>
    </w:tblStylePr>
    <w:tblStylePr w:type="band2Horz">
      <w:tblPr/>
      <w:tcPr>
        <w:tcBorders>
          <w:top w:val="single" w:sz="8" w:space="0" w:color="969696" w:themeColor="accent3"/>
          <w:left w:val="single" w:sz="8" w:space="0" w:color="969696" w:themeColor="accent3"/>
          <w:bottom w:val="single" w:sz="8" w:space="0" w:color="969696" w:themeColor="accent3"/>
          <w:right w:val="single" w:sz="8" w:space="0" w:color="969696" w:themeColor="accent3"/>
          <w:insideV w:val="single" w:sz="8" w:space="0" w:color="969696"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18" w:space="0" w:color="808080" w:themeColor="accent4"/>
          <w:right w:val="single" w:sz="8" w:space="0" w:color="808080" w:themeColor="accent4"/>
          <w:insideH w:val="nil"/>
          <w:insideV w:val="single" w:sz="8" w:space="0" w:color="80808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8080" w:themeColor="accent4"/>
          <w:left w:val="single" w:sz="8" w:space="0" w:color="808080" w:themeColor="accent4"/>
          <w:bottom w:val="single" w:sz="8" w:space="0" w:color="808080" w:themeColor="accent4"/>
          <w:right w:val="single" w:sz="8" w:space="0" w:color="808080" w:themeColor="accent4"/>
          <w:insideH w:val="nil"/>
          <w:insideV w:val="single" w:sz="8" w:space="0" w:color="80808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tcPr>
    </w:tblStylePr>
    <w:tblStylePr w:type="band1Vert">
      <w:tblPr/>
      <w:tcPr>
        <w:tcBorders>
          <w:top w:val="single" w:sz="8" w:space="0" w:color="808080" w:themeColor="accent4"/>
          <w:left w:val="single" w:sz="8" w:space="0" w:color="808080" w:themeColor="accent4"/>
          <w:bottom w:val="single" w:sz="8" w:space="0" w:color="808080" w:themeColor="accent4"/>
          <w:right w:val="single" w:sz="8" w:space="0" w:color="808080" w:themeColor="accent4"/>
        </w:tcBorders>
        <w:shd w:val="clear" w:color="auto" w:fill="DFDFDF" w:themeFill="accent4" w:themeFillTint="3F"/>
      </w:tcPr>
    </w:tblStylePr>
    <w:tblStylePr w:type="band1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shd w:val="clear" w:color="auto" w:fill="DFDFDF" w:themeFill="accent4" w:themeFillTint="3F"/>
      </w:tcPr>
    </w:tblStylePr>
    <w:tblStylePr w:type="band2Horz">
      <w:tblPr/>
      <w:tcPr>
        <w:tcBorders>
          <w:top w:val="single" w:sz="8" w:space="0" w:color="808080" w:themeColor="accent4"/>
          <w:left w:val="single" w:sz="8" w:space="0" w:color="808080" w:themeColor="accent4"/>
          <w:bottom w:val="single" w:sz="8" w:space="0" w:color="808080" w:themeColor="accent4"/>
          <w:right w:val="single" w:sz="8" w:space="0" w:color="808080" w:themeColor="accent4"/>
          <w:insideV w:val="single" w:sz="8" w:space="0" w:color="80808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shd w:val="clear" w:color="auto" w:fill="DDDDDD" w:themeFill="accent1"/>
      </w:tcPr>
    </w:tblStylePr>
    <w:tblStylePr w:type="lastRow">
      <w:pPr>
        <w:spacing w:before="0" w:after="0" w:line="240" w:lineRule="auto"/>
      </w:pPr>
      <w:rPr>
        <w:b/>
        <w:bCs/>
      </w:rPr>
      <w:tblPr/>
      <w:tcPr>
        <w:tcBorders>
          <w:top w:val="doub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tcBorders>
          <w:insideH w:val="nil"/>
          <w:insideV w:val="nil"/>
        </w:tcBorders>
        <w:shd w:val="clear" w:color="auto" w:fill="F6F6F6"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tblBorders>
    </w:tblPr>
    <w:tblStylePr w:type="firstRow">
      <w:pPr>
        <w:spacing w:before="0" w:after="0" w:line="240" w:lineRule="auto"/>
      </w:pPr>
      <w:rPr>
        <w:b/>
        <w:bCs/>
        <w:color w:val="FFFFFF" w:themeColor="background1"/>
      </w:rPr>
      <w:tblPr/>
      <w:tcPr>
        <w:tc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shd w:val="clear" w:color="auto" w:fill="B2B2B2" w:themeFill="accent2"/>
      </w:tcPr>
    </w:tblStylePr>
    <w:tblStylePr w:type="lastRow">
      <w:pPr>
        <w:spacing w:before="0" w:after="0" w:line="240" w:lineRule="auto"/>
      </w:pPr>
      <w:rPr>
        <w:b/>
        <w:bCs/>
      </w:rPr>
      <w:tblPr/>
      <w:tcPr>
        <w:tcBorders>
          <w:top w:val="double" w:sz="6"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nil"/>
          <w:insideV w:val="nil"/>
        </w:tcBorders>
      </w:tcPr>
    </w:tblStylePr>
    <w:tblStylePr w:type="firstCol">
      <w:rPr>
        <w:b/>
        <w:bCs/>
      </w:rPr>
    </w:tblStylePr>
    <w:tblStylePr w:type="lastCol">
      <w:rPr>
        <w:b/>
        <w:bCs/>
      </w:rPr>
    </w:tblStylePr>
    <w:tblStylePr w:type="band1Vert">
      <w:tblPr/>
      <w:tcPr>
        <w:shd w:val="clear" w:color="auto" w:fill="EBEBEB" w:themeFill="accent2" w:themeFillTint="3F"/>
      </w:tcPr>
    </w:tblStylePr>
    <w:tblStylePr w:type="band1Horz">
      <w:tblPr/>
      <w:tcPr>
        <w:tcBorders>
          <w:insideH w:val="nil"/>
          <w:insideV w:val="nil"/>
        </w:tcBorders>
        <w:shd w:val="clear" w:color="auto" w:fill="EBEB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tblBorders>
    </w:tblPr>
    <w:tblStylePr w:type="firstRow">
      <w:pPr>
        <w:spacing w:before="0" w:after="0" w:line="240" w:lineRule="auto"/>
      </w:pPr>
      <w:rPr>
        <w:b/>
        <w:bCs/>
        <w:color w:val="FFFFFF" w:themeColor="background1"/>
      </w:rPr>
      <w:tblPr/>
      <w:tcPr>
        <w:tc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shd w:val="clear" w:color="auto" w:fill="969696" w:themeFill="accent3"/>
      </w:tcPr>
    </w:tblStylePr>
    <w:tblStylePr w:type="lastRow">
      <w:pPr>
        <w:spacing w:before="0" w:after="0" w:line="240" w:lineRule="auto"/>
      </w:pPr>
      <w:rPr>
        <w:b/>
        <w:bCs/>
      </w:rPr>
      <w:tblPr/>
      <w:tcPr>
        <w:tcBorders>
          <w:top w:val="double" w:sz="6"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3" w:themeFillTint="3F"/>
      </w:tcPr>
    </w:tblStylePr>
    <w:tblStylePr w:type="band1Horz">
      <w:tblPr/>
      <w:tcPr>
        <w:tcBorders>
          <w:insideH w:val="nil"/>
          <w:insideV w:val="nil"/>
        </w:tcBorders>
        <w:shd w:val="clear" w:color="auto" w:fill="E5E5E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tblBorders>
    </w:tblPr>
    <w:tblStylePr w:type="firstRow">
      <w:pPr>
        <w:spacing w:before="0" w:after="0" w:line="240" w:lineRule="auto"/>
      </w:pPr>
      <w:rPr>
        <w:b/>
        <w:bCs/>
        <w:color w:val="FFFFFF" w:themeColor="background1"/>
      </w:rPr>
      <w:tblPr/>
      <w:tcPr>
        <w:tc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shd w:val="clear" w:color="auto" w:fill="808080" w:themeFill="accent4"/>
      </w:tcPr>
    </w:tblStylePr>
    <w:tblStylePr w:type="lastRow">
      <w:pPr>
        <w:spacing w:before="0" w:after="0" w:line="240" w:lineRule="auto"/>
      </w:pPr>
      <w:rPr>
        <w:b/>
        <w:bCs/>
      </w:rPr>
      <w:tblPr/>
      <w:tcPr>
        <w:tcBorders>
          <w:top w:val="double" w:sz="6"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FDF" w:themeFill="accent4" w:themeFillTint="3F"/>
      </w:tcPr>
    </w:tblStylePr>
    <w:tblStylePr w:type="band1Horz">
      <w:tblPr/>
      <w:tcPr>
        <w:tcBorders>
          <w:insideH w:val="nil"/>
          <w:insideV w:val="nil"/>
        </w:tcBorders>
        <w:shd w:val="clear" w:color="auto" w:fill="DFDFD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FFFFFF"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FFFFFF"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DDD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DDDDD" w:themeFill="accent1"/>
      </w:tcPr>
    </w:tblStylePr>
    <w:tblStylePr w:type="lastCol">
      <w:rPr>
        <w:b/>
        <w:bCs/>
        <w:color w:val="FFFFFF" w:themeColor="background1"/>
      </w:rPr>
      <w:tblPr/>
      <w:tcPr>
        <w:tcBorders>
          <w:left w:val="nil"/>
          <w:right w:val="nil"/>
          <w:insideH w:val="nil"/>
          <w:insideV w:val="nil"/>
        </w:tcBorders>
        <w:shd w:val="clear" w:color="auto" w:fill="DDDDD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2B2B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2B2B2" w:themeFill="accent2"/>
      </w:tcPr>
    </w:tblStylePr>
    <w:tblStylePr w:type="lastCol">
      <w:rPr>
        <w:b/>
        <w:bCs/>
        <w:color w:val="FFFFFF" w:themeColor="background1"/>
      </w:rPr>
      <w:tblPr/>
      <w:tcPr>
        <w:tcBorders>
          <w:left w:val="nil"/>
          <w:right w:val="nil"/>
          <w:insideH w:val="nil"/>
          <w:insideV w:val="nil"/>
        </w:tcBorders>
        <w:shd w:val="clear" w:color="auto" w:fill="B2B2B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69696"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69696" w:themeFill="accent3"/>
      </w:tcPr>
    </w:tblStylePr>
    <w:tblStylePr w:type="lastCol">
      <w:rPr>
        <w:b/>
        <w:bCs/>
        <w:color w:val="FFFFFF" w:themeColor="background1"/>
      </w:rPr>
      <w:tblPr/>
      <w:tcPr>
        <w:tcBorders>
          <w:left w:val="nil"/>
          <w:right w:val="nil"/>
          <w:insideH w:val="nil"/>
          <w:insideV w:val="nil"/>
        </w:tcBorders>
        <w:shd w:val="clear" w:color="auto" w:fill="969696"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808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8080" w:themeFill="accent4"/>
      </w:tcPr>
    </w:tblStylePr>
    <w:tblStylePr w:type="lastCol">
      <w:rPr>
        <w:b/>
        <w:bCs/>
        <w:color w:val="FFFFFF" w:themeColor="background1"/>
      </w:rPr>
      <w:tblPr/>
      <w:tcPr>
        <w:tcBorders>
          <w:left w:val="nil"/>
          <w:right w:val="nil"/>
          <w:insideH w:val="nil"/>
          <w:insideV w:val="nil"/>
        </w:tcBorders>
        <w:shd w:val="clear" w:color="auto" w:fill="80808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FFFFFF"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FFFFFF"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il"/>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B2B2B2" w:themeColor="accent2"/>
        <w:bottom w:val="single" w:sz="8" w:space="0" w:color="B2B2B2" w:themeColor="accent2"/>
      </w:tblBorders>
    </w:tblPr>
    <w:tblStylePr w:type="firstRow">
      <w:rPr>
        <w:rFonts w:asciiTheme="majorHAnsi" w:eastAsiaTheme="majorEastAsia" w:hAnsiTheme="majorHAnsi" w:cstheme="majorBidi"/>
      </w:rPr>
      <w:tblPr/>
      <w:tcPr>
        <w:tcBorders>
          <w:top w:val="nil"/>
          <w:bottom w:val="single" w:sz="8" w:space="0" w:color="B2B2B2" w:themeColor="accent2"/>
        </w:tcBorders>
      </w:tcPr>
    </w:tblStylePr>
    <w:tblStylePr w:type="lastRow">
      <w:rPr>
        <w:b/>
        <w:bCs/>
        <w:color w:val="000000" w:themeColor="text2"/>
      </w:rPr>
      <w:tblPr/>
      <w:tcPr>
        <w:tcBorders>
          <w:top w:val="single" w:sz="8" w:space="0" w:color="B2B2B2" w:themeColor="accent2"/>
          <w:bottom w:val="single" w:sz="8" w:space="0" w:color="B2B2B2" w:themeColor="accent2"/>
        </w:tcBorders>
      </w:tcPr>
    </w:tblStylePr>
    <w:tblStylePr w:type="firstCol">
      <w:rPr>
        <w:b/>
        <w:bCs/>
      </w:rPr>
    </w:tblStylePr>
    <w:tblStylePr w:type="lastCol">
      <w:rPr>
        <w:b/>
        <w:bCs/>
      </w:rPr>
      <w:tblPr/>
      <w:tcPr>
        <w:tcBorders>
          <w:top w:val="single" w:sz="8" w:space="0" w:color="B2B2B2" w:themeColor="accent2"/>
          <w:bottom w:val="single" w:sz="8" w:space="0" w:color="B2B2B2" w:themeColor="accent2"/>
        </w:tcBorders>
      </w:tcPr>
    </w:tblStylePr>
    <w:tblStylePr w:type="band1Vert">
      <w:tblPr/>
      <w:tcPr>
        <w:shd w:val="clear" w:color="auto" w:fill="EBEBEB" w:themeFill="accent2" w:themeFillTint="3F"/>
      </w:tcPr>
    </w:tblStylePr>
    <w:tblStylePr w:type="band1Horz">
      <w:tblPr/>
      <w:tcPr>
        <w:shd w:val="clear" w:color="auto" w:fill="EBEBE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69696" w:themeColor="accent3"/>
        <w:bottom w:val="single" w:sz="8" w:space="0" w:color="969696" w:themeColor="accent3"/>
      </w:tblBorders>
    </w:tblPr>
    <w:tblStylePr w:type="firstRow">
      <w:rPr>
        <w:rFonts w:asciiTheme="majorHAnsi" w:eastAsiaTheme="majorEastAsia" w:hAnsiTheme="majorHAnsi" w:cstheme="majorBidi"/>
      </w:rPr>
      <w:tblPr/>
      <w:tcPr>
        <w:tcBorders>
          <w:top w:val="nil"/>
          <w:bottom w:val="single" w:sz="8" w:space="0" w:color="969696" w:themeColor="accent3"/>
        </w:tcBorders>
      </w:tcPr>
    </w:tblStylePr>
    <w:tblStylePr w:type="lastRow">
      <w:rPr>
        <w:b/>
        <w:bCs/>
        <w:color w:val="000000" w:themeColor="text2"/>
      </w:rPr>
      <w:tblPr/>
      <w:tcPr>
        <w:tcBorders>
          <w:top w:val="single" w:sz="8" w:space="0" w:color="969696" w:themeColor="accent3"/>
          <w:bottom w:val="single" w:sz="8" w:space="0" w:color="969696" w:themeColor="accent3"/>
        </w:tcBorders>
      </w:tcPr>
    </w:tblStylePr>
    <w:tblStylePr w:type="firstCol">
      <w:rPr>
        <w:b/>
        <w:bCs/>
      </w:rPr>
    </w:tblStylePr>
    <w:tblStylePr w:type="lastCol">
      <w:rPr>
        <w:b/>
        <w:bCs/>
      </w:rPr>
      <w:tblPr/>
      <w:tcPr>
        <w:tcBorders>
          <w:top w:val="single" w:sz="8" w:space="0" w:color="969696" w:themeColor="accent3"/>
          <w:bottom w:val="single" w:sz="8" w:space="0" w:color="969696" w:themeColor="accent3"/>
        </w:tcBorders>
      </w:tcPr>
    </w:tblStylePr>
    <w:tblStylePr w:type="band1Vert">
      <w:tblPr/>
      <w:tcPr>
        <w:shd w:val="clear" w:color="auto" w:fill="E5E5E5" w:themeFill="accent3" w:themeFillTint="3F"/>
      </w:tcPr>
    </w:tblStylePr>
    <w:tblStylePr w:type="band1Horz">
      <w:tblPr/>
      <w:tcPr>
        <w:shd w:val="clear" w:color="auto" w:fill="E5E5E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8080" w:themeColor="accent4"/>
        <w:bottom w:val="single" w:sz="8" w:space="0" w:color="808080" w:themeColor="accent4"/>
      </w:tblBorders>
    </w:tblPr>
    <w:tblStylePr w:type="firstRow">
      <w:rPr>
        <w:rFonts w:asciiTheme="majorHAnsi" w:eastAsiaTheme="majorEastAsia" w:hAnsiTheme="majorHAnsi" w:cstheme="majorBidi"/>
      </w:rPr>
      <w:tblPr/>
      <w:tcPr>
        <w:tcBorders>
          <w:top w:val="nil"/>
          <w:bottom w:val="single" w:sz="8" w:space="0" w:color="808080" w:themeColor="accent4"/>
        </w:tcBorders>
      </w:tcPr>
    </w:tblStylePr>
    <w:tblStylePr w:type="lastRow">
      <w:rPr>
        <w:b/>
        <w:bCs/>
        <w:color w:val="000000" w:themeColor="text2"/>
      </w:rPr>
      <w:tblPr/>
      <w:tcPr>
        <w:tcBorders>
          <w:top w:val="single" w:sz="8" w:space="0" w:color="808080" w:themeColor="accent4"/>
          <w:bottom w:val="single" w:sz="8" w:space="0" w:color="808080" w:themeColor="accent4"/>
        </w:tcBorders>
      </w:tcPr>
    </w:tblStylePr>
    <w:tblStylePr w:type="firstCol">
      <w:rPr>
        <w:b/>
        <w:bCs/>
      </w:rPr>
    </w:tblStylePr>
    <w:tblStylePr w:type="lastCol">
      <w:rPr>
        <w:b/>
        <w:bCs/>
      </w:rPr>
      <w:tblPr/>
      <w:tcPr>
        <w:tcBorders>
          <w:top w:val="single" w:sz="8" w:space="0" w:color="808080" w:themeColor="accent4"/>
          <w:bottom w:val="single" w:sz="8" w:space="0" w:color="808080" w:themeColor="accent4"/>
        </w:tcBorders>
      </w:tcPr>
    </w:tblStylePr>
    <w:tblStylePr w:type="band1Vert">
      <w:tblPr/>
      <w:tcPr>
        <w:shd w:val="clear" w:color="auto" w:fill="DFDFDF" w:themeFill="accent4" w:themeFillTint="3F"/>
      </w:tcPr>
    </w:tblStylePr>
    <w:tblStylePr w:type="band1Horz">
      <w:tblPr/>
      <w:tcPr>
        <w:shd w:val="clear" w:color="auto" w:fill="DFDFDF"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000000"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000000"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rPr>
        <w:sz w:val="24"/>
        <w:szCs w:val="24"/>
      </w:rPr>
      <w:tblPr/>
      <w:tcPr>
        <w:tcBorders>
          <w:top w:val="nil"/>
          <w:left w:val="nil"/>
          <w:bottom w:val="single" w:sz="24" w:space="0" w:color="DDDDDD" w:themeColor="accent1"/>
          <w:right w:val="nil"/>
          <w:insideH w:val="nil"/>
          <w:insideV w:val="nil"/>
        </w:tcBorders>
        <w:shd w:val="clear" w:color="auto" w:fill="FFFFFF" w:themeFill="background1"/>
      </w:tcPr>
    </w:tblStylePr>
    <w:tblStylePr w:type="lastRow">
      <w:tblPr/>
      <w:tcPr>
        <w:tcBorders>
          <w:top w:val="single" w:sz="8" w:space="0" w:color="DDDDD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DDDD" w:themeColor="accent1"/>
          <w:insideH w:val="nil"/>
          <w:insideV w:val="nil"/>
        </w:tcBorders>
        <w:shd w:val="clear" w:color="auto" w:fill="FFFFFF" w:themeFill="background1"/>
      </w:tcPr>
    </w:tblStylePr>
    <w:tblStylePr w:type="lastCol">
      <w:tblPr/>
      <w:tcPr>
        <w:tcBorders>
          <w:top w:val="nil"/>
          <w:left w:val="single" w:sz="8" w:space="0" w:color="DDDDD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F6F6" w:themeFill="accent1" w:themeFillTint="3F"/>
      </w:tcPr>
    </w:tblStylePr>
    <w:tblStylePr w:type="band1Horz">
      <w:tblPr/>
      <w:tcPr>
        <w:tcBorders>
          <w:top w:val="nil"/>
          <w:bottom w:val="nil"/>
          <w:insideH w:val="nil"/>
          <w:insideV w:val="nil"/>
        </w:tcBorders>
        <w:shd w:val="clear" w:color="auto" w:fill="F6F6F6"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rPr>
        <w:sz w:val="24"/>
        <w:szCs w:val="24"/>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tblPr/>
      <w:tcPr>
        <w:tcBorders>
          <w:top w:val="single" w:sz="8" w:space="0" w:color="B2B2B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2B2B2" w:themeColor="accent2"/>
          <w:insideH w:val="nil"/>
          <w:insideV w:val="nil"/>
        </w:tcBorders>
        <w:shd w:val="clear" w:color="auto" w:fill="FFFFFF" w:themeFill="background1"/>
      </w:tcPr>
    </w:tblStylePr>
    <w:tblStylePr w:type="lastCol">
      <w:tblPr/>
      <w:tcPr>
        <w:tcBorders>
          <w:top w:val="nil"/>
          <w:left w:val="single" w:sz="8" w:space="0" w:color="B2B2B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EBEB" w:themeFill="accent2" w:themeFillTint="3F"/>
      </w:tcPr>
    </w:tblStylePr>
    <w:tblStylePr w:type="band1Horz">
      <w:tblPr/>
      <w:tcPr>
        <w:tcBorders>
          <w:top w:val="nil"/>
          <w:bottom w:val="nil"/>
          <w:insideH w:val="nil"/>
          <w:insideV w:val="nil"/>
        </w:tcBorders>
        <w:shd w:val="clear" w:color="auto" w:fill="EBEB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tblBorders>
    </w:tblPr>
    <w:tblStylePr w:type="firstRow">
      <w:rPr>
        <w:sz w:val="24"/>
        <w:szCs w:val="24"/>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tblPr/>
      <w:tcPr>
        <w:tcBorders>
          <w:top w:val="single" w:sz="8" w:space="0" w:color="969696"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69696" w:themeColor="accent3"/>
          <w:insideH w:val="nil"/>
          <w:insideV w:val="nil"/>
        </w:tcBorders>
        <w:shd w:val="clear" w:color="auto" w:fill="FFFFFF" w:themeFill="background1"/>
      </w:tcPr>
    </w:tblStylePr>
    <w:tblStylePr w:type="lastCol">
      <w:tblPr/>
      <w:tcPr>
        <w:tcBorders>
          <w:top w:val="nil"/>
          <w:left w:val="single" w:sz="8" w:space="0" w:color="969696"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5E5" w:themeFill="accent3" w:themeFillTint="3F"/>
      </w:tcPr>
    </w:tblStylePr>
    <w:tblStylePr w:type="band1Horz">
      <w:tblPr/>
      <w:tcPr>
        <w:tcBorders>
          <w:top w:val="nil"/>
          <w:bottom w:val="nil"/>
          <w:insideH w:val="nil"/>
          <w:insideV w:val="nil"/>
        </w:tcBorders>
        <w:shd w:val="clear" w:color="auto" w:fill="E5E5E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tblBorders>
    </w:tblPr>
    <w:tblStylePr w:type="firstRow">
      <w:rPr>
        <w:sz w:val="24"/>
        <w:szCs w:val="24"/>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tblPr/>
      <w:tcPr>
        <w:tcBorders>
          <w:top w:val="single" w:sz="8" w:space="0" w:color="80808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8080" w:themeColor="accent4"/>
          <w:insideH w:val="nil"/>
          <w:insideV w:val="nil"/>
        </w:tcBorders>
        <w:shd w:val="clear" w:color="auto" w:fill="FFFFFF" w:themeFill="background1"/>
      </w:tcPr>
    </w:tblStylePr>
    <w:tblStylePr w:type="lastCol">
      <w:tblPr/>
      <w:tcPr>
        <w:tcBorders>
          <w:top w:val="nil"/>
          <w:left w:val="single" w:sz="8" w:space="0" w:color="80808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FDF" w:themeFill="accent4" w:themeFillTint="3F"/>
      </w:tcPr>
    </w:tblStylePr>
    <w:tblStylePr w:type="band1Horz">
      <w:tblPr/>
      <w:tcPr>
        <w:tcBorders>
          <w:top w:val="nil"/>
          <w:bottom w:val="nil"/>
          <w:insideH w:val="nil"/>
          <w:insideV w:val="nil"/>
        </w:tcBorders>
        <w:shd w:val="clear" w:color="auto" w:fill="DFDFD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tblPr/>
      <w:tcPr>
        <w:tcBorders>
          <w:top w:val="single" w:sz="8" w:space="0" w:color="5F5F5F"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F5F5F" w:themeColor="accent5"/>
          <w:insideH w:val="nil"/>
          <w:insideV w:val="nil"/>
        </w:tcBorders>
        <w:shd w:val="clear" w:color="auto" w:fill="FFFFFF" w:themeFill="background1"/>
      </w:tcPr>
    </w:tblStylePr>
    <w:tblStylePr w:type="lastCol">
      <w:tblPr/>
      <w:tcPr>
        <w:tcBorders>
          <w:top w:val="nil"/>
          <w:left w:val="single" w:sz="8" w:space="0" w:color="5F5F5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tblPr/>
      <w:tcPr>
        <w:tcBorders>
          <w:top w:val="single" w:sz="8" w:space="0" w:color="4D4D4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D4D4D" w:themeColor="accent6"/>
          <w:insideH w:val="nil"/>
          <w:insideV w:val="nil"/>
        </w:tcBorders>
        <w:shd w:val="clear" w:color="auto" w:fill="FFFFFF" w:themeFill="background1"/>
      </w:tcPr>
    </w:tblStylePr>
    <w:tblStylePr w:type="lastCol">
      <w:tblPr/>
      <w:tcPr>
        <w:tcBorders>
          <w:top w:val="nil"/>
          <w:left w:val="single" w:sz="8" w:space="0" w:color="4D4D4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insideV w:val="single" w:sz="8" w:space="0" w:color="E5E5E5" w:themeColor="accent1" w:themeTint="BF"/>
      </w:tblBorders>
    </w:tblPr>
    <w:tcPr>
      <w:shd w:val="clear" w:color="auto" w:fill="F6F6F6" w:themeFill="accent1" w:themeFillTint="3F"/>
    </w:tcPr>
    <w:tblStylePr w:type="firstRow">
      <w:rPr>
        <w:b/>
        <w:bCs/>
      </w:rPr>
    </w:tblStylePr>
    <w:tblStylePr w:type="lastRow">
      <w:rPr>
        <w:b/>
        <w:bCs/>
      </w:rPr>
      <w:tblPr/>
      <w:tcPr>
        <w:tcBorders>
          <w:top w:val="single" w:sz="18" w:space="0" w:color="E5E5E5" w:themeColor="accent1" w:themeTint="BF"/>
        </w:tcBorders>
      </w:tcPr>
    </w:tblStylePr>
    <w:tblStylePr w:type="firstCol">
      <w:rPr>
        <w:b/>
        <w:bCs/>
      </w:rPr>
    </w:tblStylePr>
    <w:tblStylePr w:type="lastCol">
      <w:rPr>
        <w:b/>
        <w:bCs/>
      </w:r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5C5C5" w:themeColor="accent2" w:themeTint="BF"/>
        <w:left w:val="single" w:sz="8" w:space="0" w:color="C5C5C5" w:themeColor="accent2" w:themeTint="BF"/>
        <w:bottom w:val="single" w:sz="8" w:space="0" w:color="C5C5C5" w:themeColor="accent2" w:themeTint="BF"/>
        <w:right w:val="single" w:sz="8" w:space="0" w:color="C5C5C5" w:themeColor="accent2" w:themeTint="BF"/>
        <w:insideH w:val="single" w:sz="8" w:space="0" w:color="C5C5C5" w:themeColor="accent2" w:themeTint="BF"/>
        <w:insideV w:val="single" w:sz="8" w:space="0" w:color="C5C5C5" w:themeColor="accent2" w:themeTint="BF"/>
      </w:tblBorders>
    </w:tblPr>
    <w:tcPr>
      <w:shd w:val="clear" w:color="auto" w:fill="EBEBEB" w:themeFill="accent2" w:themeFillTint="3F"/>
    </w:tcPr>
    <w:tblStylePr w:type="firstRow">
      <w:rPr>
        <w:b/>
        <w:bCs/>
      </w:rPr>
    </w:tblStylePr>
    <w:tblStylePr w:type="lastRow">
      <w:rPr>
        <w:b/>
        <w:bCs/>
      </w:rPr>
      <w:tblPr/>
      <w:tcPr>
        <w:tcBorders>
          <w:top w:val="single" w:sz="18" w:space="0" w:color="C5C5C5" w:themeColor="accent2" w:themeTint="BF"/>
        </w:tcBorders>
      </w:tcPr>
    </w:tblStylePr>
    <w:tblStylePr w:type="firstCol">
      <w:rPr>
        <w:b/>
        <w:bCs/>
      </w:rPr>
    </w:tblStylePr>
    <w:tblStylePr w:type="lastCol">
      <w:rPr>
        <w:b/>
        <w:bCs/>
      </w:r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0B0B0" w:themeColor="accent3" w:themeTint="BF"/>
        <w:left w:val="single" w:sz="8" w:space="0" w:color="B0B0B0" w:themeColor="accent3" w:themeTint="BF"/>
        <w:bottom w:val="single" w:sz="8" w:space="0" w:color="B0B0B0" w:themeColor="accent3" w:themeTint="BF"/>
        <w:right w:val="single" w:sz="8" w:space="0" w:color="B0B0B0" w:themeColor="accent3" w:themeTint="BF"/>
        <w:insideH w:val="single" w:sz="8" w:space="0" w:color="B0B0B0" w:themeColor="accent3" w:themeTint="BF"/>
        <w:insideV w:val="single" w:sz="8" w:space="0" w:color="B0B0B0" w:themeColor="accent3" w:themeTint="BF"/>
      </w:tblBorders>
    </w:tblPr>
    <w:tcPr>
      <w:shd w:val="clear" w:color="auto" w:fill="E5E5E5" w:themeFill="accent3" w:themeFillTint="3F"/>
    </w:tcPr>
    <w:tblStylePr w:type="firstRow">
      <w:rPr>
        <w:b/>
        <w:bCs/>
      </w:rPr>
    </w:tblStylePr>
    <w:tblStylePr w:type="lastRow">
      <w:rPr>
        <w:b/>
        <w:bCs/>
      </w:rPr>
      <w:tblPr/>
      <w:tcPr>
        <w:tcBorders>
          <w:top w:val="single" w:sz="18" w:space="0" w:color="B0B0B0" w:themeColor="accent3" w:themeTint="BF"/>
        </w:tcBorders>
      </w:tcPr>
    </w:tblStylePr>
    <w:tblStylePr w:type="firstCol">
      <w:rPr>
        <w:b/>
        <w:bCs/>
      </w:rPr>
    </w:tblStylePr>
    <w:tblStylePr w:type="lastCol">
      <w:rPr>
        <w:b/>
        <w:bCs/>
      </w:r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9F9F" w:themeColor="accent4" w:themeTint="BF"/>
        <w:left w:val="single" w:sz="8" w:space="0" w:color="9F9F9F" w:themeColor="accent4" w:themeTint="BF"/>
        <w:bottom w:val="single" w:sz="8" w:space="0" w:color="9F9F9F" w:themeColor="accent4" w:themeTint="BF"/>
        <w:right w:val="single" w:sz="8" w:space="0" w:color="9F9F9F" w:themeColor="accent4" w:themeTint="BF"/>
        <w:insideH w:val="single" w:sz="8" w:space="0" w:color="9F9F9F" w:themeColor="accent4" w:themeTint="BF"/>
        <w:insideV w:val="single" w:sz="8" w:space="0" w:color="9F9F9F" w:themeColor="accent4" w:themeTint="BF"/>
      </w:tblBorders>
    </w:tblPr>
    <w:tcPr>
      <w:shd w:val="clear" w:color="auto" w:fill="DFDFDF" w:themeFill="accent4" w:themeFillTint="3F"/>
    </w:tcPr>
    <w:tblStylePr w:type="firstRow">
      <w:rPr>
        <w:b/>
        <w:bCs/>
      </w:rPr>
    </w:tblStylePr>
    <w:tblStylePr w:type="lastRow">
      <w:rPr>
        <w:b/>
        <w:bCs/>
      </w:rPr>
      <w:tblPr/>
      <w:tcPr>
        <w:tcBorders>
          <w:top w:val="single" w:sz="18" w:space="0" w:color="9F9F9F" w:themeColor="accent4" w:themeTint="BF"/>
        </w:tcBorders>
      </w:tcPr>
    </w:tblStylePr>
    <w:tblStylePr w:type="firstCol">
      <w:rPr>
        <w:b/>
        <w:bCs/>
      </w:rPr>
    </w:tblStylePr>
    <w:tblStylePr w:type="lastCol">
      <w:rPr>
        <w:b/>
        <w:bCs/>
      </w:r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cPr>
      <w:shd w:val="clear" w:color="auto" w:fill="F6F6F6" w:themeFill="accent1" w:themeFillTint="3F"/>
    </w:tcPr>
    <w:tblStylePr w:type="firstRow">
      <w:rPr>
        <w:b/>
        <w:bCs/>
        <w:color w:val="000000" w:themeColor="text1"/>
      </w:rPr>
      <w:tblPr/>
      <w:tcPr>
        <w:shd w:val="clear" w:color="auto" w:fill="FBFB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F8F8" w:themeFill="accent1" w:themeFillTint="33"/>
      </w:tcPr>
    </w:tblStylePr>
    <w:tblStylePr w:type="band1Vert">
      <w:tblPr/>
      <w:tcPr>
        <w:shd w:val="clear" w:color="auto" w:fill="EEEEEE" w:themeFill="accent1" w:themeFillTint="7F"/>
      </w:tcPr>
    </w:tblStylePr>
    <w:tblStylePr w:type="band1Horz">
      <w:tblPr/>
      <w:tcPr>
        <w:tcBorders>
          <w:insideH w:val="single" w:sz="6" w:space="0" w:color="DDDDDD" w:themeColor="accent1"/>
          <w:insideV w:val="single" w:sz="6" w:space="0" w:color="DDDDDD" w:themeColor="accent1"/>
        </w:tcBorders>
        <w:shd w:val="clear" w:color="auto" w:fill="EEEEE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insideH w:val="single" w:sz="8" w:space="0" w:color="B2B2B2" w:themeColor="accent2"/>
        <w:insideV w:val="single" w:sz="8" w:space="0" w:color="B2B2B2" w:themeColor="accent2"/>
      </w:tblBorders>
    </w:tblPr>
    <w:tcPr>
      <w:shd w:val="clear" w:color="auto" w:fill="EBEBEB" w:themeFill="accent2" w:themeFillTint="3F"/>
    </w:tcPr>
    <w:tblStylePr w:type="firstRow">
      <w:rPr>
        <w:b/>
        <w:bCs/>
        <w:color w:val="000000" w:themeColor="text1"/>
      </w:rPr>
      <w:tblPr/>
      <w:tcPr>
        <w:shd w:val="clear" w:color="auto" w:fill="F7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FEF" w:themeFill="accent2" w:themeFillTint="33"/>
      </w:tcPr>
    </w:tblStylePr>
    <w:tblStylePr w:type="band1Vert">
      <w:tblPr/>
      <w:tcPr>
        <w:shd w:val="clear" w:color="auto" w:fill="D8D8D8" w:themeFill="accent2" w:themeFillTint="7F"/>
      </w:tcPr>
    </w:tblStylePr>
    <w:tblStylePr w:type="band1Horz">
      <w:tblPr/>
      <w:tcPr>
        <w:tcBorders>
          <w:insideH w:val="single" w:sz="6" w:space="0" w:color="B2B2B2" w:themeColor="accent2"/>
          <w:insideV w:val="single" w:sz="6" w:space="0" w:color="B2B2B2" w:themeColor="accent2"/>
        </w:tcBorders>
        <w:shd w:val="clear" w:color="auto" w:fill="D8D8D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69696" w:themeColor="accent3"/>
        <w:left w:val="single" w:sz="8" w:space="0" w:color="969696" w:themeColor="accent3"/>
        <w:bottom w:val="single" w:sz="8" w:space="0" w:color="969696" w:themeColor="accent3"/>
        <w:right w:val="single" w:sz="8" w:space="0" w:color="969696" w:themeColor="accent3"/>
        <w:insideH w:val="single" w:sz="8" w:space="0" w:color="969696" w:themeColor="accent3"/>
        <w:insideV w:val="single" w:sz="8" w:space="0" w:color="969696" w:themeColor="accent3"/>
      </w:tblBorders>
    </w:tblPr>
    <w:tcPr>
      <w:shd w:val="clear" w:color="auto" w:fill="E5E5E5" w:themeFill="accent3" w:themeFillTint="3F"/>
    </w:tcPr>
    <w:tblStylePr w:type="firstRow">
      <w:rPr>
        <w:b/>
        <w:bCs/>
        <w:color w:val="000000" w:themeColor="text1"/>
      </w:rPr>
      <w:tblPr/>
      <w:tcPr>
        <w:shd w:val="clear" w:color="auto" w:fill="F4F4F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3" w:themeFillTint="33"/>
      </w:tcPr>
    </w:tblStylePr>
    <w:tblStylePr w:type="band1Vert">
      <w:tblPr/>
      <w:tcPr>
        <w:shd w:val="clear" w:color="auto" w:fill="CACACA" w:themeFill="accent3" w:themeFillTint="7F"/>
      </w:tcPr>
    </w:tblStylePr>
    <w:tblStylePr w:type="band1Horz">
      <w:tblPr/>
      <w:tcPr>
        <w:tcBorders>
          <w:insideH w:val="single" w:sz="6" w:space="0" w:color="969696" w:themeColor="accent3"/>
          <w:insideV w:val="single" w:sz="6" w:space="0" w:color="969696" w:themeColor="accent3"/>
        </w:tcBorders>
        <w:shd w:val="clear" w:color="auto" w:fill="CACAC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8080" w:themeColor="accent4"/>
        <w:left w:val="single" w:sz="8" w:space="0" w:color="808080" w:themeColor="accent4"/>
        <w:bottom w:val="single" w:sz="8" w:space="0" w:color="808080" w:themeColor="accent4"/>
        <w:right w:val="single" w:sz="8" w:space="0" w:color="808080" w:themeColor="accent4"/>
        <w:insideH w:val="single" w:sz="8" w:space="0" w:color="808080" w:themeColor="accent4"/>
        <w:insideV w:val="single" w:sz="8" w:space="0" w:color="808080" w:themeColor="accent4"/>
      </w:tblBorders>
    </w:tblPr>
    <w:tcPr>
      <w:shd w:val="clear" w:color="auto" w:fill="DFDFDF"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5E5" w:themeFill="accent4" w:themeFillTint="33"/>
      </w:tcPr>
    </w:tblStylePr>
    <w:tblStylePr w:type="band1Vert">
      <w:tblPr/>
      <w:tcPr>
        <w:shd w:val="clear" w:color="auto" w:fill="BFBFBF" w:themeFill="accent4" w:themeFillTint="7F"/>
      </w:tcPr>
    </w:tblStylePr>
    <w:tblStylePr w:type="band1Horz">
      <w:tblPr/>
      <w:tcPr>
        <w:tcBorders>
          <w:insideH w:val="single" w:sz="6" w:space="0" w:color="808080" w:themeColor="accent4"/>
          <w:insideV w:val="single" w:sz="6" w:space="0" w:color="808080" w:themeColor="accent4"/>
        </w:tcBorders>
        <w:shd w:val="clear" w:color="auto" w:fill="BFBFB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F6F6"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DDD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DDD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DDD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EEE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EEE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EB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2B2B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2B2B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2B2B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D8D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D8D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5E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9696"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9696"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9696"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AC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ACA"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FD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808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808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808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FB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FBF"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7D7"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F5F5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F5F5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F5F5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FAFA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FAFAF"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3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D4D4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D4D4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D4D4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6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6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DDDD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E6E6E"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A5A5A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A5A5A5" w:themeFill="accent1" w:themeFillShade="BF"/>
      </w:tcPr>
    </w:tblStylePr>
    <w:tblStylePr w:type="band1Vert">
      <w:tblPr/>
      <w:tcPr>
        <w:tcBorders>
          <w:top w:val="nil"/>
          <w:left w:val="nil"/>
          <w:bottom w:val="nil"/>
          <w:right w:val="nil"/>
          <w:insideH w:val="nil"/>
          <w:insideV w:val="nil"/>
        </w:tcBorders>
        <w:shd w:val="clear" w:color="auto" w:fill="A5A5A5" w:themeFill="accent1" w:themeFillShade="BF"/>
      </w:tcPr>
    </w:tblStylePr>
    <w:tblStylePr w:type="band1Horz">
      <w:tblPr/>
      <w:tcPr>
        <w:tcBorders>
          <w:top w:val="nil"/>
          <w:left w:val="nil"/>
          <w:bottom w:val="nil"/>
          <w:right w:val="nil"/>
          <w:insideH w:val="nil"/>
          <w:insideV w:val="nil"/>
        </w:tcBorders>
        <w:shd w:val="clear" w:color="auto" w:fill="A5A5A5"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B2B2B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85858"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85858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858585" w:themeFill="accent2" w:themeFillShade="BF"/>
      </w:tcPr>
    </w:tblStylePr>
    <w:tblStylePr w:type="band1Vert">
      <w:tblPr/>
      <w:tcPr>
        <w:tcBorders>
          <w:top w:val="nil"/>
          <w:left w:val="nil"/>
          <w:bottom w:val="nil"/>
          <w:right w:val="nil"/>
          <w:insideH w:val="nil"/>
          <w:insideV w:val="nil"/>
        </w:tcBorders>
        <w:shd w:val="clear" w:color="auto" w:fill="858585" w:themeFill="accent2" w:themeFillShade="BF"/>
      </w:tcPr>
    </w:tblStylePr>
    <w:tblStylePr w:type="band1Horz">
      <w:tblPr/>
      <w:tcPr>
        <w:tcBorders>
          <w:top w:val="nil"/>
          <w:left w:val="nil"/>
          <w:bottom w:val="nil"/>
          <w:right w:val="nil"/>
          <w:insideH w:val="nil"/>
          <w:insideV w:val="nil"/>
        </w:tcBorders>
        <w:shd w:val="clear" w:color="auto" w:fill="858585"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69696"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4A4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0707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07070" w:themeFill="accent3" w:themeFillShade="BF"/>
      </w:tcPr>
    </w:tblStylePr>
    <w:tblStylePr w:type="band1Vert">
      <w:tblPr/>
      <w:tcPr>
        <w:tcBorders>
          <w:top w:val="nil"/>
          <w:left w:val="nil"/>
          <w:bottom w:val="nil"/>
          <w:right w:val="nil"/>
          <w:insideH w:val="nil"/>
          <w:insideV w:val="nil"/>
        </w:tcBorders>
        <w:shd w:val="clear" w:color="auto" w:fill="707070" w:themeFill="accent3" w:themeFillShade="BF"/>
      </w:tcPr>
    </w:tblStylePr>
    <w:tblStylePr w:type="band1Horz">
      <w:tblPr/>
      <w:tcPr>
        <w:tcBorders>
          <w:top w:val="nil"/>
          <w:left w:val="nil"/>
          <w:bottom w:val="nil"/>
          <w:right w:val="nil"/>
          <w:insideH w:val="nil"/>
          <w:insideV w:val="nil"/>
        </w:tcBorders>
        <w:shd w:val="clear" w:color="auto" w:fill="707070"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808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F3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5F5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5F5F" w:themeFill="accent4" w:themeFillShade="BF"/>
      </w:tcPr>
    </w:tblStylePr>
    <w:tblStylePr w:type="band1Vert">
      <w:tblPr/>
      <w:tcPr>
        <w:tcBorders>
          <w:top w:val="nil"/>
          <w:left w:val="nil"/>
          <w:bottom w:val="nil"/>
          <w:right w:val="nil"/>
          <w:insideH w:val="nil"/>
          <w:insideV w:val="nil"/>
        </w:tcBorders>
        <w:shd w:val="clear" w:color="auto" w:fill="5F5F5F" w:themeFill="accent4" w:themeFillShade="BF"/>
      </w:tcPr>
    </w:tblStylePr>
    <w:tblStylePr w:type="band1Horz">
      <w:tblPr/>
      <w:tcPr>
        <w:tcBorders>
          <w:top w:val="nil"/>
          <w:left w:val="nil"/>
          <w:bottom w:val="nil"/>
          <w:right w:val="nil"/>
          <w:insideH w:val="nil"/>
          <w:insideV w:val="nil"/>
        </w:tcBorders>
        <w:shd w:val="clear" w:color="auto" w:fill="5F5F5F"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F5F5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7474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4D4D4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9393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DDDDDD" w:themeColor="accent1"/>
        <w:bottom w:val="single" w:sz="4" w:space="0" w:color="DDDDDD" w:themeColor="accent1"/>
        <w:right w:val="single" w:sz="4" w:space="0" w:color="DDDDDD" w:themeColor="accent1"/>
        <w:insideH w:val="single" w:sz="4" w:space="0" w:color="FFFFFF" w:themeColor="background1"/>
        <w:insideV w:val="single" w:sz="4" w:space="0" w:color="FFFFFF" w:themeColor="background1"/>
      </w:tblBorders>
    </w:tblPr>
    <w:tcPr>
      <w:shd w:val="clear" w:color="auto" w:fill="FBFBFB" w:themeFill="accent1"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8484" w:themeFill="accent1" w:themeFillShade="99"/>
      </w:tcPr>
    </w:tblStylePr>
    <w:tblStylePr w:type="firstCol">
      <w:rPr>
        <w:color w:val="FFFFFF" w:themeColor="background1"/>
      </w:rPr>
      <w:tblPr/>
      <w:tcPr>
        <w:tcBorders>
          <w:top w:val="nil"/>
          <w:left w:val="nil"/>
          <w:bottom w:val="nil"/>
          <w:right w:val="nil"/>
          <w:insideH w:val="single" w:sz="4" w:space="0" w:color="848484" w:themeColor="accent1" w:themeShade="99"/>
          <w:insideV w:val="nil"/>
        </w:tcBorders>
        <w:shd w:val="clear" w:color="auto" w:fill="84848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848484" w:themeFill="accent1" w:themeFillShade="99"/>
      </w:tcPr>
    </w:tblStylePr>
    <w:tblStylePr w:type="band1Vert">
      <w:tblPr/>
      <w:tcPr>
        <w:shd w:val="clear" w:color="auto" w:fill="F1F1F1" w:themeFill="accent1" w:themeFillTint="66"/>
      </w:tcPr>
    </w:tblStylePr>
    <w:tblStylePr w:type="band1Horz">
      <w:tblPr/>
      <w:tcPr>
        <w:shd w:val="clear" w:color="auto" w:fill="EEEEE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B2B2B2" w:themeColor="accent2"/>
        <w:left w:val="single" w:sz="4" w:space="0" w:color="B2B2B2" w:themeColor="accent2"/>
        <w:bottom w:val="single" w:sz="4" w:space="0" w:color="B2B2B2" w:themeColor="accent2"/>
        <w:right w:val="single" w:sz="4" w:space="0" w:color="B2B2B2" w:themeColor="accent2"/>
        <w:insideH w:val="single" w:sz="4" w:space="0" w:color="FFFFFF" w:themeColor="background1"/>
        <w:insideV w:val="single" w:sz="4" w:space="0" w:color="FFFFFF" w:themeColor="background1"/>
      </w:tblBorders>
    </w:tblPr>
    <w:tcPr>
      <w:shd w:val="clear" w:color="auto" w:fill="F7F7F7" w:themeFill="accent2" w:themeFillTint="19"/>
    </w:tcPr>
    <w:tblStylePr w:type="firstRow">
      <w:rPr>
        <w:b/>
        <w:bCs/>
      </w:rPr>
      <w:tblPr/>
      <w:tcPr>
        <w:tcBorders>
          <w:top w:val="nil"/>
          <w:left w:val="nil"/>
          <w:bottom w:val="single" w:sz="24" w:space="0" w:color="B2B2B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6A6A" w:themeFill="accent2" w:themeFillShade="99"/>
      </w:tcPr>
    </w:tblStylePr>
    <w:tblStylePr w:type="firstCol">
      <w:rPr>
        <w:color w:val="FFFFFF" w:themeColor="background1"/>
      </w:rPr>
      <w:tblPr/>
      <w:tcPr>
        <w:tcBorders>
          <w:top w:val="nil"/>
          <w:left w:val="nil"/>
          <w:bottom w:val="nil"/>
          <w:right w:val="nil"/>
          <w:insideH w:val="single" w:sz="4" w:space="0" w:color="6A6A6A" w:themeColor="accent2" w:themeShade="99"/>
          <w:insideV w:val="nil"/>
        </w:tcBorders>
        <w:shd w:val="clear" w:color="auto" w:fill="6A6A6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A6A6A" w:themeFill="accent2" w:themeFillShade="99"/>
      </w:tcPr>
    </w:tblStylePr>
    <w:tblStylePr w:type="band1Vert">
      <w:tblPr/>
      <w:tcPr>
        <w:shd w:val="clear" w:color="auto" w:fill="E0E0E0" w:themeFill="accent2" w:themeFillTint="66"/>
      </w:tcPr>
    </w:tblStylePr>
    <w:tblStylePr w:type="band1Horz">
      <w:tblPr/>
      <w:tcPr>
        <w:shd w:val="clear" w:color="auto" w:fill="D8D8D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8080" w:themeColor="accent4"/>
        <w:left w:val="single" w:sz="4" w:space="0" w:color="969696" w:themeColor="accent3"/>
        <w:bottom w:val="single" w:sz="4" w:space="0" w:color="969696" w:themeColor="accent3"/>
        <w:right w:val="single" w:sz="4" w:space="0" w:color="969696" w:themeColor="accent3"/>
        <w:insideH w:val="single" w:sz="4" w:space="0" w:color="FFFFFF" w:themeColor="background1"/>
        <w:insideV w:val="single" w:sz="4" w:space="0" w:color="FFFFFF" w:themeColor="background1"/>
      </w:tblBorders>
    </w:tblPr>
    <w:tcPr>
      <w:shd w:val="clear" w:color="auto" w:fill="F4F4F4" w:themeFill="accent3" w:themeFillTint="19"/>
    </w:tcPr>
    <w:tblStylePr w:type="firstRow">
      <w:rPr>
        <w:b/>
        <w:bCs/>
      </w:rPr>
      <w:tblPr/>
      <w:tcPr>
        <w:tcBorders>
          <w:top w:val="nil"/>
          <w:left w:val="nil"/>
          <w:bottom w:val="single" w:sz="24" w:space="0" w:color="80808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A5A5A" w:themeFill="accent3" w:themeFillShade="99"/>
      </w:tcPr>
    </w:tblStylePr>
    <w:tblStylePr w:type="firstCol">
      <w:rPr>
        <w:color w:val="FFFFFF" w:themeColor="background1"/>
      </w:rPr>
      <w:tblPr/>
      <w:tcPr>
        <w:tcBorders>
          <w:top w:val="nil"/>
          <w:left w:val="nil"/>
          <w:bottom w:val="nil"/>
          <w:right w:val="nil"/>
          <w:insideH w:val="single" w:sz="4" w:space="0" w:color="5A5A5A" w:themeColor="accent3" w:themeShade="99"/>
          <w:insideV w:val="nil"/>
        </w:tcBorders>
        <w:shd w:val="clear" w:color="auto" w:fill="5A5A5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A5A5A" w:themeFill="accent3" w:themeFillShade="99"/>
      </w:tcPr>
    </w:tblStylePr>
    <w:tblStylePr w:type="band1Vert">
      <w:tblPr/>
      <w:tcPr>
        <w:shd w:val="clear" w:color="auto" w:fill="D5D5D5" w:themeFill="accent3" w:themeFillTint="66"/>
      </w:tcPr>
    </w:tblStylePr>
    <w:tblStylePr w:type="band1Horz">
      <w:tblPr/>
      <w:tcPr>
        <w:shd w:val="clear" w:color="auto" w:fill="CACACA"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69696" w:themeColor="accent3"/>
        <w:left w:val="single" w:sz="4" w:space="0" w:color="808080" w:themeColor="accent4"/>
        <w:bottom w:val="single" w:sz="4" w:space="0" w:color="808080" w:themeColor="accent4"/>
        <w:right w:val="single" w:sz="4" w:space="0" w:color="808080"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969696"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4C4C" w:themeFill="accent4" w:themeFillShade="99"/>
      </w:tcPr>
    </w:tblStylePr>
    <w:tblStylePr w:type="firstCol">
      <w:rPr>
        <w:color w:val="FFFFFF" w:themeColor="background1"/>
      </w:rPr>
      <w:tblPr/>
      <w:tcPr>
        <w:tcBorders>
          <w:top w:val="nil"/>
          <w:left w:val="nil"/>
          <w:bottom w:val="nil"/>
          <w:right w:val="nil"/>
          <w:insideH w:val="single" w:sz="4" w:space="0" w:color="4C4C4C" w:themeColor="accent4" w:themeShade="99"/>
          <w:insideV w:val="nil"/>
        </w:tcBorders>
        <w:shd w:val="clear" w:color="auto" w:fill="4C4C4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4C4C" w:themeFill="accent4" w:themeFillShade="99"/>
      </w:tcPr>
    </w:tblStylePr>
    <w:tblStylePr w:type="band1Vert">
      <w:tblPr/>
      <w:tcPr>
        <w:shd w:val="clear" w:color="auto" w:fill="CCCCCC" w:themeFill="accent4" w:themeFillTint="66"/>
      </w:tcPr>
    </w:tblStylePr>
    <w:tblStylePr w:type="band1Horz">
      <w:tblPr/>
      <w:tcPr>
        <w:shd w:val="clear" w:color="auto" w:fill="BFBFBF"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FFFFFF" w:themeColor="background1"/>
        <w:insideV w:val="single" w:sz="4" w:space="0" w:color="FFFFFF"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93939" w:themeFill="accent5" w:themeFillShade="99"/>
      </w:tcPr>
    </w:tblStylePr>
    <w:tblStylePr w:type="firstCol">
      <w:rPr>
        <w:color w:val="FFFFFF"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FFFFFF" w:themeColor="background1"/>
        <w:insideV w:val="single" w:sz="4" w:space="0" w:color="FFFFFF"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2E2E" w:themeFill="accent6" w:themeFillShade="99"/>
      </w:tcPr>
    </w:tblStylePr>
    <w:tblStylePr w:type="firstCol">
      <w:rPr>
        <w:color w:val="FFFFFF"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BFBFB" w:themeFill="accen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F6F6" w:themeFill="accent1" w:themeFillTint="3F"/>
      </w:tcPr>
    </w:tblStylePr>
    <w:tblStylePr w:type="band1Horz">
      <w:tblPr/>
      <w:tcPr>
        <w:shd w:val="clear" w:color="auto" w:fill="F8F8F8"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4F4F4" w:themeFill="accent3" w:themeFillTint="19"/>
    </w:tcPr>
    <w:tblStylePr w:type="firstRow">
      <w:rPr>
        <w:b/>
        <w:bCs/>
        <w:color w:val="FFFFFF" w:themeColor="background1"/>
      </w:rPr>
      <w:tblPr/>
      <w:tcPr>
        <w:tcBorders>
          <w:bottom w:val="single" w:sz="12" w:space="0" w:color="FFFFFF" w:themeColor="background1"/>
        </w:tcBorders>
        <w:shd w:val="clear" w:color="auto" w:fill="666666" w:themeFill="accent4" w:themeFillShade="CC"/>
      </w:tcPr>
    </w:tblStylePr>
    <w:tblStylePr w:type="lastRow">
      <w:rPr>
        <w:b/>
        <w:bCs/>
        <w:color w:val="666666"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3" w:themeFillTint="3F"/>
      </w:tcPr>
    </w:tblStylePr>
    <w:tblStylePr w:type="band1Horz">
      <w:tblPr/>
      <w:tcPr>
        <w:shd w:val="clear" w:color="auto" w:fill="EAEAEA"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787878" w:themeFill="accent3" w:themeFillShade="CC"/>
      </w:tcPr>
    </w:tblStylePr>
    <w:tblStylePr w:type="lastRow">
      <w:rPr>
        <w:b/>
        <w:bCs/>
        <w:color w:val="787878"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FDF" w:themeFill="accent4" w:themeFillTint="3F"/>
      </w:tcPr>
    </w:tblStylePr>
    <w:tblStylePr w:type="band1Horz">
      <w:tblPr/>
      <w:tcPr>
        <w:shd w:val="clear" w:color="auto" w:fill="E5E5E5"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FEFEF" w:themeFill="accent5" w:themeFillTint="19"/>
    </w:tcPr>
    <w:tblStylePr w:type="firstRow">
      <w:rPr>
        <w:b/>
        <w:bCs/>
        <w:color w:val="FFFFFF" w:themeColor="background1"/>
      </w:rPr>
      <w:tblPr/>
      <w:tcPr>
        <w:tcBorders>
          <w:bottom w:val="single" w:sz="12" w:space="0" w:color="FFFFFF"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DEDED" w:themeFill="accent6" w:themeFillTint="19"/>
    </w:tcPr>
    <w:tblStylePr w:type="firstRow">
      <w:rPr>
        <w:b/>
        <w:bCs/>
        <w:color w:val="FFFFFF" w:themeColor="background1"/>
      </w:rPr>
      <w:tblPr/>
      <w:tcPr>
        <w:tcBorders>
          <w:bottom w:val="single" w:sz="12" w:space="0" w:color="FFFFFF"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F8F8" w:themeFill="accent1" w:themeFillTint="33"/>
    </w:tcPr>
    <w:tblStylePr w:type="firstRow">
      <w:rPr>
        <w:b/>
        <w:bCs/>
      </w:rPr>
      <w:tblPr/>
      <w:tcPr>
        <w:shd w:val="clear" w:color="auto" w:fill="F1F1F1" w:themeFill="accent1" w:themeFillTint="66"/>
      </w:tcPr>
    </w:tblStylePr>
    <w:tblStylePr w:type="lastRow">
      <w:rPr>
        <w:b/>
        <w:bCs/>
        <w:color w:val="000000" w:themeColor="text1"/>
      </w:rPr>
      <w:tblPr/>
      <w:tcPr>
        <w:shd w:val="clear" w:color="auto" w:fill="F1F1F1" w:themeFill="accent1" w:themeFillTint="66"/>
      </w:tcPr>
    </w:tblStylePr>
    <w:tblStylePr w:type="firstCol">
      <w:rPr>
        <w:color w:val="FFFFFF" w:themeColor="background1"/>
      </w:rPr>
      <w:tblPr/>
      <w:tcPr>
        <w:shd w:val="clear" w:color="auto" w:fill="A5A5A5" w:themeFill="accent1" w:themeFillShade="BF"/>
      </w:tcPr>
    </w:tblStylePr>
    <w:tblStylePr w:type="lastCol">
      <w:rPr>
        <w:color w:val="FFFFFF" w:themeColor="background1"/>
      </w:rPr>
      <w:tblPr/>
      <w:tcPr>
        <w:shd w:val="clear" w:color="auto" w:fill="A5A5A5" w:themeFill="accent1" w:themeFillShade="BF"/>
      </w:tcPr>
    </w:tblStylePr>
    <w:tblStylePr w:type="band1Vert">
      <w:tblPr/>
      <w:tcPr>
        <w:shd w:val="clear" w:color="auto" w:fill="EEEEEE" w:themeFill="accent1" w:themeFillTint="7F"/>
      </w:tcPr>
    </w:tblStylePr>
    <w:tblStylePr w:type="band1Horz">
      <w:tblPr/>
      <w:tcPr>
        <w:shd w:val="clear" w:color="auto" w:fill="EEEEE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FEFEF" w:themeFill="accent2" w:themeFillTint="33"/>
    </w:tcPr>
    <w:tblStylePr w:type="firstRow">
      <w:rPr>
        <w:b/>
        <w:bCs/>
      </w:rPr>
      <w:tblPr/>
      <w:tcPr>
        <w:shd w:val="clear" w:color="auto" w:fill="E0E0E0" w:themeFill="accent2" w:themeFillTint="66"/>
      </w:tcPr>
    </w:tblStylePr>
    <w:tblStylePr w:type="lastRow">
      <w:rPr>
        <w:b/>
        <w:bCs/>
        <w:color w:val="000000"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AEA" w:themeFill="accent3" w:themeFillTint="33"/>
    </w:tcPr>
    <w:tblStylePr w:type="firstRow">
      <w:rPr>
        <w:b/>
        <w:bCs/>
      </w:rPr>
      <w:tblPr/>
      <w:tcPr>
        <w:shd w:val="clear" w:color="auto" w:fill="D5D5D5" w:themeFill="accent3" w:themeFillTint="66"/>
      </w:tcPr>
    </w:tblStylePr>
    <w:tblStylePr w:type="lastRow">
      <w:rPr>
        <w:b/>
        <w:bCs/>
        <w:color w:val="000000" w:themeColor="text1"/>
      </w:rPr>
      <w:tblPr/>
      <w:tcPr>
        <w:shd w:val="clear" w:color="auto" w:fill="D5D5D5" w:themeFill="accent3" w:themeFillTint="66"/>
      </w:tcPr>
    </w:tblStylePr>
    <w:tblStylePr w:type="firstCol">
      <w:rPr>
        <w:color w:val="FFFFFF" w:themeColor="background1"/>
      </w:rPr>
      <w:tblPr/>
      <w:tcPr>
        <w:shd w:val="clear" w:color="auto" w:fill="707070" w:themeFill="accent3" w:themeFillShade="BF"/>
      </w:tcPr>
    </w:tblStylePr>
    <w:tblStylePr w:type="lastCol">
      <w:rPr>
        <w:color w:val="FFFFFF" w:themeColor="background1"/>
      </w:rPr>
      <w:tblPr/>
      <w:tcPr>
        <w:shd w:val="clear" w:color="auto" w:fill="707070" w:themeFill="accent3" w:themeFillShade="BF"/>
      </w:tcPr>
    </w:tblStylePr>
    <w:tblStylePr w:type="band1Vert">
      <w:tblPr/>
      <w:tcPr>
        <w:shd w:val="clear" w:color="auto" w:fill="CACACA" w:themeFill="accent3" w:themeFillTint="7F"/>
      </w:tcPr>
    </w:tblStylePr>
    <w:tblStylePr w:type="band1Horz">
      <w:tblPr/>
      <w:tcPr>
        <w:shd w:val="clear" w:color="auto" w:fill="CACACA"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5E5" w:themeFill="accent4" w:themeFillTint="33"/>
    </w:tcPr>
    <w:tblStylePr w:type="firstRow">
      <w:rPr>
        <w:b/>
        <w:bCs/>
      </w:rPr>
      <w:tblPr/>
      <w:tcPr>
        <w:shd w:val="clear" w:color="auto" w:fill="CCCCCC" w:themeFill="accent4" w:themeFillTint="66"/>
      </w:tcPr>
    </w:tblStylePr>
    <w:tblStylePr w:type="lastRow">
      <w:rPr>
        <w:b/>
        <w:bCs/>
        <w:color w:val="000000" w:themeColor="text1"/>
      </w:rPr>
      <w:tblPr/>
      <w:tcPr>
        <w:shd w:val="clear" w:color="auto" w:fill="CCCCCC" w:themeFill="accent4" w:themeFillTint="66"/>
      </w:tcPr>
    </w:tblStylePr>
    <w:tblStylePr w:type="firstCol">
      <w:rPr>
        <w:color w:val="FFFFFF" w:themeColor="background1"/>
      </w:rPr>
      <w:tblPr/>
      <w:tcPr>
        <w:shd w:val="clear" w:color="auto" w:fill="5F5F5F" w:themeFill="accent4" w:themeFillShade="BF"/>
      </w:tcPr>
    </w:tblStylePr>
    <w:tblStylePr w:type="lastCol">
      <w:rPr>
        <w:color w:val="FFFFFF" w:themeColor="background1"/>
      </w:rPr>
      <w:tblPr/>
      <w:tcPr>
        <w:shd w:val="clear" w:color="auto" w:fill="5F5F5F" w:themeFill="accent4" w:themeFillShade="BF"/>
      </w:tcPr>
    </w:tblStylePr>
    <w:tblStylePr w:type="band1Vert">
      <w:tblPr/>
      <w:tcPr>
        <w:shd w:val="clear" w:color="auto" w:fill="BFBFBF" w:themeFill="accent4" w:themeFillTint="7F"/>
      </w:tcPr>
    </w:tblStylePr>
    <w:tblStylePr w:type="band1Horz">
      <w:tblPr/>
      <w:tcPr>
        <w:shd w:val="clear" w:color="auto" w:fill="BFBFBF"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FFFFFF" w:themeColor="background1"/>
      </w:rPr>
      <w:tblPr/>
      <w:tcPr>
        <w:shd w:val="clear" w:color="auto" w:fill="474747" w:themeFill="accent5" w:themeFillShade="BF"/>
      </w:tcPr>
    </w:tblStylePr>
    <w:tblStylePr w:type="lastCol">
      <w:rPr>
        <w:color w:val="FFFFFF"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FFFFFF" w:themeColor="background1"/>
      </w:rPr>
      <w:tblPr/>
      <w:tcPr>
        <w:shd w:val="clear" w:color="auto" w:fill="393939" w:themeFill="accent6" w:themeFillShade="BF"/>
      </w:tcPr>
    </w:tblStylePr>
    <w:tblStylePr w:type="lastCol">
      <w:rPr>
        <w:color w:val="FFFFFF"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character" w:customStyle="1" w:styleId="NoSpacingChar">
    <w:name w:val="No Spacing Char"/>
    <w:basedOn w:val="DefaultParagraphFont"/>
    <w:link w:val="NoSpacing"/>
    <w:uiPriority w:val="1"/>
    <w:rsid w:val="00E31114"/>
    <w:rPr>
      <w:i/>
      <w:iCs/>
      <w:sz w:val="20"/>
      <w:szCs w:val="20"/>
    </w:rPr>
  </w:style>
  <w:style w:type="paragraph" w:customStyle="1" w:styleId="PersonalName">
    <w:name w:val="Personal Name"/>
    <w:basedOn w:val="Title"/>
    <w:rsid w:val="00E31114"/>
    <w:rPr>
      <w:b/>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Gre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190</Words>
  <Characters>1088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Tammy</cp:lastModifiedBy>
  <cp:revision>2</cp:revision>
  <dcterms:created xsi:type="dcterms:W3CDTF">2013-12-23T23:15:00Z</dcterms:created>
  <dcterms:modified xsi:type="dcterms:W3CDTF">2025-03-21T17:26:00Z</dcterms:modified>
  <cp:category/>
</cp:coreProperties>
</file>