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Pr>
          <w:rFonts w:ascii="Arial" w:hAnsi="Arial" w:eastAsia="Arial" w:cs="Arial"/>
          <w:b w:val="1"/>
          <w:bCs w:val="1"/>
          <w:color w:val="auto"/>
          <w:sz w:val="32"/>
          <w:szCs w:val="32"/>
        </w:rPr>
        <w:t xml:space="preserve">Exploratory Data Analysis (EDA) Summary </w:t>
      </w:r>
      <w:r>
        <w:br/>
      </w:r>
      <w:r>
        <w:rPr>
          <w:rFonts w:ascii="Arial" w:hAnsi="Arial" w:eastAsia="Arial" w:cs="Arial"/>
          <w:b w:val="1"/>
          <w:bCs w:val="1"/>
          <w:color w:val="auto"/>
          <w:sz w:val="32"/>
          <w:szCs w:val="32"/>
        </w:rPr>
        <w:t>Report Template</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Pr>
          <w:rFonts w:ascii="Arial" w:hAnsi="Arial" w:eastAsia="Arial" w:cs="Arial"/>
          <w:color w:val="auto"/>
        </w:rPr>
        <w:t>This report presents the Exploratory Data Analysis (EDA) of Geldium Finance’s credit card customer dataset, conducted by the Tata iQ analytics team. The goal is to assess data quality, identify missing values and anomalies, and surface early risk indicators for customer delinquency. Findings will inform the design of an AI/ML predictive model to support Geldium’s Head of Collections in prioritising intervention strategies for at-risk customers.</w:t>
      </w:r>
    </w:p>
    <w:p xmlns:wp14="http://schemas.microsoft.com/office/word/2010/wordml" w:rsidP="3378EA2B" w14:paraId="5F1C37D1" wp14:textId="77777777" wp14:noSpellErr="1">
      <w:pPr>
        <w:pStyle w:val="Heading1"/>
        <w:rPr>
          <w:rFonts w:ascii="Arial" w:hAnsi="Arial" w:eastAsia="Arial" w:cs="Arial"/>
          <w:color w:val="auto"/>
        </w:rPr>
      </w:pPr>
      <w:r>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rPr>
          <w:rFonts w:ascii="Arial" w:hAnsi="Arial" w:eastAsia="Arial" w:cs="Arial"/>
          <w:color w:val="auto"/>
        </w:rPr>
        <w:t>- Number of records: 500 customers, 19 variables</w:t>
      </w:r>
    </w:p>
    <w:p xmlns:wp14="http://schemas.microsoft.com/office/word/2010/wordml" w:rsidP="3378EA2B" w14:paraId="66D18F34" wp14:textId="77777777" wp14:noSpellErr="1">
      <w:pPr>
        <w:rPr>
          <w:rFonts w:ascii="Arial" w:hAnsi="Arial" w:eastAsia="Arial" w:cs="Arial"/>
          <w:color w:val="auto"/>
        </w:rPr>
      </w:pPr>
      <w:r>
        <w:rPr>
          <w:rFonts w:ascii="Arial" w:hAnsi="Arial" w:eastAsia="Arial" w:cs="Arial"/>
          <w:color w:val="auto"/>
        </w:rPr>
        <w:t>- Key variables: Customer_ID (unique identifier); Age, Income, Credit_Score, Credit_Utilization, Loan_Balance, Debt_to_Income_Ratio, Account_Tenure (numerical risk features); Missed_Payments (discrete count, 0–6); Employment_Status, Credit_Card_Type, Location (categorical demographics); Month_1 to Month_6 (ordinal payment behaviour: On-time / Late / Missed); Delinquent_Account (binary target: 1 = delinquent, 0 = not)</w:t>
      </w:r>
    </w:p>
    <w:p xmlns:wp14="http://schemas.microsoft.com/office/word/2010/wordml" w:rsidP="3378EA2B" w14:paraId="1713A2A9" wp14:textId="77777777" wp14:noSpellErr="1">
      <w:pPr>
        <w:rPr>
          <w:rFonts w:ascii="Arial" w:hAnsi="Arial" w:eastAsia="Arial" w:cs="Arial"/>
          <w:color w:val="auto"/>
        </w:rPr>
      </w:pPr>
      <w:r>
        <w:rPr>
          <w:rFonts w:ascii="Arial" w:hAnsi="Arial" w:eastAsia="Arial" w:cs="Arial"/>
          <w:color w:val="auto"/>
        </w:rPr>
        <w:t>- Data types: Numerical continuous (Income, Credit_Score, Credit_Utilization, Loan_Balance, Debt_to_Income_Ratio); Numerical discrete/integer (Age, Missed_Payments, Account_Tenure); Categorical nominal (Employment_Status, Credit_Card_Type, Location, Customer_ID); Categorical ordinal (Month_1–Month_6: On-time / Late / Missed); Binary target (Delinquent_Account: 0/1)</w:t>
      </w:r>
    </w:p>
    <w:p xmlns:wp14="http://schemas.microsoft.com/office/word/2010/wordml" w:rsidP="3378EA2B" w14:paraId="5A7A0835" wp14:textId="77777777" wp14:noSpellErr="1">
      <w:pPr>
        <w:pStyle w:val="Heading1"/>
        <w:rPr>
          <w:rFonts w:ascii="Arial" w:hAnsi="Arial" w:eastAsia="Arial" w:cs="Arial"/>
          <w:color w:val="auto"/>
        </w:rPr>
      </w:pPr>
      <w:r>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rPr>
          <w:rFonts w:ascii="Arial" w:hAnsi="Arial" w:eastAsia="Arial" w:cs="Arial"/>
          <w:color w:val="auto"/>
        </w:rPr>
        <w:t>- Variables with missing values: Income (39 records, 7.8% missing); Loan_Balance (29 records, 5.8% missing); Credit_Score (2 records, 0.4% missing). All other 16 variables are complete with no missing values.</w:t>
      </w:r>
    </w:p>
    <w:p xmlns:wp14="http://schemas.microsoft.com/office/word/2010/wordml" w:rsidP="3378EA2B" w14:paraId="13777320" wp14:textId="77777777" wp14:noSpellErr="1">
      <w:pPr>
        <w:rPr>
          <w:rFonts w:ascii="Arial" w:hAnsi="Arial" w:eastAsia="Arial" w:cs="Arial"/>
          <w:color w:val="auto"/>
        </w:rPr>
      </w:pPr>
      <w:r>
        <w:rPr>
          <w:rFonts w:ascii="Arial" w:hAnsi="Arial" w:eastAsia="Arial" w:cs="Arial"/>
          <w:color w:val="auto"/>
        </w:rPr>
        <w:t>- Missing data treatment: Income — median imputation (recommended by GenAI; median is robust to the wide income range of $15K–$200K and avoids distortion from high earners); Loan_Balance — median imputation (skewed distribution with values from $612 to $99,620 makes median more reliable than mean); Credit_Score — mean imputation (only 2 records missing, near-normal distribution with mean 578, minimal impact). Row deletion was not used as missing data is limited to 3 variables and no row had more than one missing field.</w:t>
      </w:r>
    </w:p>
    <w:p xmlns:wp14="http://schemas.microsoft.com/office/word/2010/wordml" w:rsidP="3378EA2B" w14:paraId="42D602DA" wp14:textId="77777777" wp14:noSpellErr="1">
      <w:pPr>
        <w:pStyle w:val="Heading1"/>
        <w:rPr>
          <w:rFonts w:ascii="Arial" w:hAnsi="Arial" w:eastAsia="Arial" w:cs="Arial"/>
          <w:color w:val="auto"/>
        </w:rPr>
      </w:pPr>
      <w:r>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rPr>
          <w:rFonts w:ascii="Arial" w:hAnsi="Arial" w:eastAsia="Arial" w:cs="Arial"/>
          <w:color w:val="auto"/>
        </w:rPr>
        <w:t>- Correlations observed between key variables: Individual numeric correlations with Delinquent_Account are low in isolation (highest: Income +0.045, Account_Tenure -0.040), typical in credit datasets where risk emerges from combinations of factors. Business card holders show the highest delinquency rate (21.3%) vs Platinum (11.8%). Unemployed customers have the highest rate (19.4%) vs retired (11.5%). Los Angeles shows the highest geographic rate (19.6%) vs New York (12.0%). Across all 6 payment months, statuses are nearly evenly split between On-time, Late, and Missed — indicating widespread irregularity. Delinquent customers have slightly higher average income ($113,902 vs $107,307) and shorter Account_Tenure (9.2 vs 9.8 years), suggesting newer customers may carry higher risk.</w:t>
      </w:r>
    </w:p>
    <w:p xmlns:wp14="http://schemas.microsoft.com/office/word/2010/wordml" w:rsidP="3378EA2B" w14:paraId="62F06E2A" wp14:textId="77777777" wp14:noSpellErr="1">
      <w:pPr>
        <w:rPr>
          <w:rFonts w:ascii="Arial" w:hAnsi="Arial" w:eastAsia="Arial" w:cs="Arial"/>
          <w:color w:val="auto"/>
        </w:rPr>
      </w:pPr>
      <w:r>
        <w:rPr>
          <w:rFonts w:ascii="Arial" w:hAnsi="Arial" w:eastAsia="Arial" w:cs="Arial"/>
          <w:color w:val="auto"/>
        </w:rPr>
        <w:t>- Unexpected anomalies: (1) Credit_Utilization exceeds 1.0 for 4 customers (CUST0090: 1.026, CUST0266: 1.025, CUST0293: 1.002, CUST0427: 1.009) — values above 100% are invalid and likely data entry errors; these should be capped at 1.0 before modelling. (2) Employment_Status contains duplicate labels (“EMP”, “Employed”, “employed”) that should be standardised to 3–4 clean categories. (3) Delinquency rate is non-monotonic with Missed_Payments: highest at 5 missed payments (22.1%), lowest at 3 and 6 (11.5%) — this non-linearity warrants investigation and favours tree-based models. (4) Significant class imbalance: 84% non-delinquent; SMOTE or class weighting will be required to prevent the model from defaulting to the majority class.</w:t>
      </w:r>
    </w:p>
    <w:p xmlns:wp14="http://schemas.microsoft.com/office/word/2010/wordml" w:rsidP="3378EA2B" w14:paraId="723692B8" wp14:textId="77777777" wp14:noSpellErr="1">
      <w:pPr>
        <w:pStyle w:val="Heading1"/>
        <w:rPr>
          <w:rFonts w:ascii="Arial" w:hAnsi="Arial" w:eastAsia="Arial" w:cs="Arial"/>
          <w:color w:val="auto"/>
        </w:rPr>
      </w:pPr>
      <w:r>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Pr>
          <w:rFonts w:ascii="Arial" w:hAnsi="Arial" w:eastAsia="Arial" w:cs="Arial"/>
          <w:color w:val="auto"/>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Pr>
          <w:rFonts w:ascii="Arial" w:hAnsi="Arial" w:eastAsia="Arial" w:cs="Arial"/>
          <w:color w:val="auto"/>
        </w:rPr>
        <w:t>The EDA of Geldium Finance’s 500-customer dataset reveals a 16% overall delinquency rate with meaningful variation across card type, employment status, and location. Three variables contain missing values (Income 7.8%, Loan_Balance 5.8%, Credit_Score 0.4%), all treatable via median or mean imputation without data loss. Key anomalies — Credit_Utilization exceeding 1.0 and inconsistent Employment_Status labels — must be resolved before modelling. Payment history (Month_1–Month_6) and segment-level patterns (Business cards, Unemployed customers) are strong candidate features. Recommended next steps: (1) Standardise Employment_Status categories; (2) Cap Credit_Utilization at 1.0; (3) Apply median imputation to Income and Loan_Balance, mean imputation to Credit_Score; (4) Encode payment history columns ordinally (On-time=0, Late=1, Missed=2); (5) Address class imbalance with SMOTE or class weighting; (6) Proceed to feature engineering and model training, prioritising ensemble methods (Random Forest, XGBoost) given the non-linear patterns observed.</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styles" Target="styles.xml" Id="rId3"/><Relationship Type="http://schemas.microsoft.com/office/2007/relationships/stylesWithEffects" Target="stylesWithEffects.xml" Id="rId4"/><Relationship Type="http://schemas.openxmlformats.org/officeDocument/2006/relationships/settings" Target="settings.xml" Id="rId5"/><Relationship Type="http://schemas.openxmlformats.org/officeDocument/2006/relationships/webSettings" Target="webSettings.xml" Id="rId6"/><Relationship Type="http://schemas.openxmlformats.org/officeDocument/2006/relationships/fontTable" Target="fontTable.xml" Id="rId7"/><Relationship Type="http://schemas.openxmlformats.org/officeDocument/2006/relationships/theme" Target="theme/theme1.xml" Id="rId8"/><Relationship Type="http://schemas.openxmlformats.org/officeDocument/2006/relationships/customXml" Target="../customXml/item1.xml" Id="rId1"/><Relationship Type="http://schemas.openxmlformats.org/officeDocument/2006/relationships/numbering" Target="numbering.xml" Id="rId2"/></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