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df" ContentType="application/pdf"/>
  <Override PartName="/word/media/rId20.pdf" ContentType="application/pdf"/>
  <Override PartName="/word/media/rId30.pdf" ContentType="application/pdf"/>
  <Override PartName="/word/media/rId38.pdf" ContentType="application/pdf"/>
  <Override PartName="/word/media/rId34.pdf" ContentType="application/pdf"/>
  <Override PartName="/word/media/rId43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Notes on modeling heterogeneous gene flow across the genome</w:t>
      </w:r>
    </w:p>
    <w:p>
      <w:pPr>
        <w:pStyle w:val="Author"/>
      </w:pPr>
      <w:r>
        <w:t xml:space="preserve">Arthur Zwaenepoel</w:t>
      </w:r>
    </w:p>
    <w:bookmarkStart w:id="26" w:name="X685e03a0aac86e73d141607b4cb5be04ec7464b"/>
    <w:p>
      <w:pPr>
        <w:pStyle w:val="Heading2"/>
      </w:pPr>
      <w:r>
        <w:t xml:space="preserve">Approximation of the effective migration rate in windows</w:t>
      </w:r>
    </w:p>
    <w:p>
      <w:pPr>
        <w:pStyle w:val="FirstParagraph"/>
      </w:pPr>
      <w:r>
        <w:t xml:space="preserve">We approximate the gff in window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map length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i</m:t>
              </m:r>
              <m:r>
                <m:t>i</m:t>
              </m:r>
            </m:sub>
          </m:sSub>
          <m:nary>
            <m:naryPr>
              <m:chr m:val="∏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  <m:e>
                  <m:f>
                    <m:fPr>
                      <m:type m:val="bar"/>
                    </m:fPr>
                    <m:num>
                      <m:r>
                        <m:t>s</m:t>
                      </m:r>
                      <m:r>
                        <m:t>Δ</m:t>
                      </m:r>
                    </m:num>
                    <m:den>
                      <m:r>
                        <m:t>s</m:t>
                      </m:r>
                      <m:r>
                        <m:t>Δ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x</m:t>
                          </m:r>
                        </m:e>
                      </m:d>
                    </m:den>
                  </m:f>
                </m:e>
              </m:nary>
            </m:e>
          </m:d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s</m:t>
                  </m:r>
                  <m:r>
                    <m:t>Δ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num>
                <m:den>
                  <m:r>
                    <m:t>s</m:t>
                  </m:r>
                  <m:r>
                    <m:t>Δ</m:t>
                  </m:r>
                  <m:r>
                    <m:rPr>
                      <m:sty m:val="p"/>
                    </m:rPr>
                    <m:t>+</m:t>
                  </m:r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r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measure of the allele frequency divergence at selected loci</w:t>
      </w:r>
      <w:r>
        <w:t xml:space="preserve"> </w:t>
      </w:r>
      <w:r>
        <w:t xml:space="preserve">between the two populations.</w:t>
      </w:r>
      <w:r>
        <w:t xml:space="preserve"> </w:t>
      </w:r>
      <w:r>
        <w:t xml:space="preserve">In the detailed model of</w:t>
      </w:r>
      <w:r>
        <w:t xml:space="preserve"> </w:t>
      </w:r>
      <w:r>
        <w:t xml:space="preserve">@zwaenepoel2024</w:t>
      </w:r>
      <w:r>
        <w:t xml:space="preserve">, expected allele frequency divergence</w:t>
      </w:r>
      <w:r>
        <w:t xml:space="preserve"> </w:t>
      </w:r>
      <w:r>
        <w:t xml:space="preserve">due to genetic drift is predicted at each selected locus individually.</w:t>
      </w:r>
      <w:r>
        <w:t xml:space="preserve"> </w:t>
      </w:r>
      <w:r>
        <w:t xml:space="preserve">In this coarse-grained approximation, we account for partial divergence through</w:t>
      </w:r>
      <w:r>
        <w:t xml:space="preserve"> </w:t>
      </w:r>
      <w:r>
        <w:t xml:space="preserve">a single quantity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Note that one could in principle also work with the expected divergence for</w:t>
      </w:r>
      <w:r>
        <w:t xml:space="preserve"> </w:t>
      </w:r>
      <w:r>
        <w:t xml:space="preserve">each window.</w:t>
      </w:r>
      <w:r>
        <w:t xml:space="preserve"> </w:t>
      </w:r>
      <w:r>
        <w:t xml:space="preserve">Setting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amounts to assuming complete divergence, i.e. selection is</w:t>
      </w:r>
      <w:r>
        <w:t xml:space="preserve"> </w:t>
      </w:r>
      <w:r>
        <w:t xml:space="preserve">strong relative to drift (</w:t>
      </w:r>
      <m:oMath>
        <m:sSub>
          <m:e>
            <m:r>
              <m:t>N</m:t>
            </m:r>
          </m:e>
          <m:sub>
            <m:r>
              <m:t>e</m:t>
            </m:r>
          </m:sub>
        </m:sSub>
        <m:r>
          <m:t>s</m:t>
        </m:r>
        <m:r>
          <m:rPr>
            <m:sty m:val="p"/>
          </m:rPr>
          <m:t>≫</m:t>
        </m:r>
        <m:r>
          <m:t>1</m:t>
        </m:r>
      </m:oMath>
      <w:r>
        <w:t xml:space="preserve">).</w:t>
      </w:r>
    </w:p>
    <w:p>
      <w:pPr>
        <w:pStyle w:val="BodyText"/>
      </w:pPr>
      <w:r>
        <w:t xml:space="preserve">A crude way to estimate a single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by using the harmonic mean</w:t>
      </w:r>
      <w:r>
        <w:t xml:space="preserve"> </w:t>
      </w:r>
      <w:r>
        <w:t xml:space="preserve">recombination rate among selected loci and solving for the allele frequencies</w:t>
      </w:r>
      <w:r>
        <w:t xml:space="preserve"> </w:t>
      </w:r>
      <w:r>
        <w:t xml:space="preserve">using the fixed-point iteration outlined in</w:t>
      </w:r>
      <w:r>
        <w:t xml:space="preserve"> </w:t>
      </w:r>
      <w:r>
        <w:t xml:space="preserve">@sachdeva2022</w:t>
      </w:r>
      <w:r>
        <w:t xml:space="preserve"> </w:t>
      </w:r>
      <w:r>
        <w:t xml:space="preserve">and</w:t>
      </w:r>
      <w:r>
        <w:t xml:space="preserve"> </w:t>
      </w:r>
      <w:r>
        <w:t xml:space="preserve">@zwaenepoel2024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Accounting for partial divergence in this way is likely not very</w:t>
      </w:r>
      <w:r>
        <w:t xml:space="preserve"> </w:t>
      </w:r>
      <w:r>
        <w:t xml:space="preserve">relevant, as it mostly amounts to substituting some</w:t>
      </w:r>
      <w:r>
        <w:t xml:space="preserve"> </w:t>
      </w:r>
      <m:oMath>
        <m:sSub>
          <m:e>
            <m:r>
              <m:t>s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s</m:t>
        </m:r>
        <m:r>
          <m:t>Δ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the complete divergence model. This is not entirely true of course, since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complicated way. It would become more relevant if</w:t>
      </w:r>
      <w:r>
        <w:t xml:space="preserve"> </w:t>
      </w:r>
      <w:r>
        <w:t xml:space="preserve">we allow for heterogeneous selection coefficients across the genome, in which</w:t>
      </w:r>
      <w:r>
        <w:t xml:space="preserve"> </w:t>
      </w:r>
      <w:r>
        <w:t xml:space="preserve">case we may have that some loci are subject to swamping while other remain</w:t>
      </w:r>
      <w:r>
        <w:t xml:space="preserve"> </w:t>
      </w:r>
      <w:r>
        <w:t xml:space="preserve">differentiated.</w:t>
      </w:r>
    </w:p>
    <w:p>
      <w:pPr>
        <w:pStyle w:val="CaptionedFigure"/>
      </w:pPr>
      <w:r>
        <w:drawing>
          <wp:inline>
            <wp:extent cx="5334000" cy="1185333"/>
            <wp:effectExtent b="0" l="0" r="0" t="0"/>
            <wp:docPr descr="Example of the coarse m_e approximation when partial divergence matters." title="" id="21" name="Picture"/>
            <a:graphic>
              <a:graphicData uri="http://schemas.openxmlformats.org/drawingml/2006/picture">
                <pic:pic>
                  <pic:nvPicPr>
                    <pic:cNvPr descr="/home/arzwa/vimwiki/build/img/2025-05-04-partial-divergence-ex.pdf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of the coarse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approximation when partial divergence matters.</w:t>
      </w:r>
    </w:p>
    <w:p>
      <w:pPr>
        <w:pStyle w:val="CaptionedFigure"/>
      </w:pPr>
      <w:r>
        <w:drawing>
          <wp:inline>
            <wp:extent cx="5334000" cy="1185333"/>
            <wp:effectExtent b="0" l="0" r="0" t="0"/>
            <wp:docPr descr="Example of the coarse m_e approximation when divergence is essentially complete." title="" id="24" name="Picture"/>
            <a:graphic>
              <a:graphicData uri="http://schemas.openxmlformats.org/drawingml/2006/picture">
                <pic:pic>
                  <pic:nvPicPr>
                    <pic:cNvPr descr="/home/arzwa/vimwiki/build/img/2025-05-04-complete-divergence-ex.pdf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of the coarse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approximation when divergence is essentially</w:t>
      </w:r>
      <w:r>
        <w:t xml:space="preserve"> </w:t>
      </w:r>
      <w:r>
        <w:t xml:space="preserve">complete.</w:t>
      </w:r>
    </w:p>
    <w:bookmarkEnd w:id="26"/>
    <w:bookmarkStart w:id="27" w:name="bayesian-inference-using-mcmc"/>
    <w:p>
      <w:pPr>
        <w:pStyle w:val="Heading2"/>
      </w:pPr>
      <w:r>
        <w:t xml:space="preserve">Bayesian inference using MCMC</w:t>
      </w:r>
    </w:p>
    <w:p>
      <w:pPr>
        <w:pStyle w:val="FirstParagraph"/>
      </w:pPr>
      <w:r>
        <w:t xml:space="preserve">For observed data</w:t>
      </w:r>
      <w:r>
        <w:t xml:space="preserve"> </w:t>
      </w:r>
      <m:oMath>
        <m:r>
          <m:t>y</m:t>
        </m:r>
      </m:oMath>
      <w:r>
        <w:t xml:space="preserve">, we have the following generative model</w:t>
      </w:r>
      <w:r>
        <w:t xml:space="preserve"> 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the density of selected sites per unit of map length,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t xml:space="preserve">number of selected sites in window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map length of window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data in window</w:t>
      </w:r>
      <w:r>
        <w:t xml:space="preserve"> </w:t>
      </w:r>
      <m:oMath>
        <m:r>
          <m:t>i</m:t>
        </m:r>
      </m:oMath>
      <w:r>
        <w:t xml:space="preserve">,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lumps together all other</w:t>
      </w:r>
      <w:r>
        <w:t xml:space="preserve"> </w:t>
      </w:r>
      <w:r>
        <w:t xml:space="preserve">(hyper)parameters (</w:t>
      </w:r>
      <m:oMath>
        <m:r>
          <m:t>m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e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We devise a sampling scheme which makes use of the conjugacy of the Poisson and</w:t>
      </w:r>
      <w:r>
        <w:t xml:space="preserve"> </w:t>
      </w:r>
      <w:r>
        <w:t xml:space="preserve">Gamma distributions. Specifically, we use a Gibbs sampler that cycles through</w:t>
      </w:r>
      <w:r>
        <w:t xml:space="preserve"> </w:t>
      </w:r>
      <w:r>
        <w:t xml:space="preserve">the following updates:</w:t>
      </w:r>
      <w:r>
        <w:t xml:space="preserve"> </w:t>
      </w:r>
      <w:r>
        <w:t xml:space="preserve"> </w:t>
      </w:r>
      <w:r>
        <w:t xml:space="preserve">where for the first sampling step we use a Metropolis-Hastings update, for</w:t>
      </w:r>
      <w:r>
        <w:t xml:space="preserve"> </w:t>
      </w:r>
      <w:r>
        <w:t xml:space="preserve">the second we sample from the analytically available posterior (exploiting</w:t>
      </w:r>
      <w:r>
        <w:t xml:space="preserve"> </w:t>
      </w:r>
      <w:r>
        <w:t xml:space="preserve">conjugacy) and for the third we calculate the posterior probabilities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{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,</m:t>
          </m:r>
          <m:r>
            <m:t>ν</m:t>
          </m:r>
          <m:r>
            <m:rPr>
              <m:sty m:val="p"/>
            </m:rPr>
            <m:t>,</m:t>
          </m:r>
          <m:r>
            <m:t>θ</m:t>
          </m:r>
          <m:r>
            <m:rPr>
              <m:sty m:val="p"/>
            </m:rPr>
            <m:t>}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e>
              </m:d>
              <m:r>
                <m:t>ν</m:t>
              </m:r>
              <m:r>
                <m:rPr>
                  <m:sty m:val="p"/>
                </m:rPr>
                <m:t>}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l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ν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{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j</m:t>
                  </m:r>
                </m:e>
              </m:d>
              <m:r>
                <m:t>ν</m:t>
              </m:r>
              <m:r>
                <m:rPr>
                  <m:sty m:val="p"/>
                </m:rPr>
                <m:t>}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,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chosen so that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l</m:t>
        </m:r>
        <m:r>
          <m:rPr>
            <m:sty m:val="p"/>
          </m:rPr>
          <m:t>|</m:t>
        </m:r>
        <m:r>
          <m:t>ν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ϵ</m:t>
        </m:r>
      </m:oMath>
      <w:r>
        <w:t xml:space="preserve"> </w:t>
      </w:r>
      <w:r>
        <w:t xml:space="preserve">for some suitably chosen</w:t>
      </w:r>
      <w:r>
        <w:t xml:space="preserve"> </w:t>
      </w:r>
      <m:oMath>
        <m:r>
          <m:t>ϵ</m:t>
        </m:r>
      </m:oMath>
      <w:r>
        <w:t xml:space="preserve">. This sampler is</w:t>
      </w:r>
      <w:r>
        <w:t xml:space="preserve"> </w:t>
      </w:r>
      <w:r>
        <w:t xml:space="preserve">reasonably efficient.</w:t>
      </w:r>
    </w:p>
    <w:bookmarkEnd w:id="27"/>
    <w:bookmarkStart w:id="28" w:name="X33ef915705456c6fe8416033eb7f47ce0125a65"/>
    <w:p>
      <w:pPr>
        <w:pStyle w:val="Heading2"/>
      </w:pPr>
      <w:r>
        <w:t xml:space="preserve">Composite likelihood for the two-population model</w:t>
      </w:r>
    </w:p>
    <w:p>
      <w:pPr>
        <w:pStyle w:val="FirstParagraph"/>
      </w:pPr>
      <w:r>
        <w:t xml:space="preserve">We outline a composite likelihood approach similar to the one used by</w:t>
      </w:r>
      <w:r>
        <w:t xml:space="preserve"> </w:t>
      </w:r>
      <w:r>
        <w:t xml:space="preserve">@elyashiv2016</w:t>
      </w:r>
      <w:r>
        <w:t xml:space="preserve"> </w:t>
      </w:r>
      <w:r>
        <w:t xml:space="preserve">and</w:t>
      </w:r>
      <w:r>
        <w:t xml:space="preserve"> </w:t>
      </w:r>
      <w:r>
        <w:t xml:space="preserve">@murphy2022</w:t>
      </w:r>
      <w:r>
        <w:t xml:space="preserve">, but in the context of a two-deme model.</w:t>
      </w:r>
    </w:p>
    <w:p>
      <w:pPr>
        <w:pStyle w:val="BodyText"/>
      </w:pPr>
      <w:r>
        <w:t xml:space="preserve">We assume two demes, labeled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connected by unidirectional migration</w:t>
      </w:r>
      <w:r>
        <w:t xml:space="preserve"> </w:t>
      </w:r>
      <w:r>
        <w:t xml:space="preserve">forward in time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(so that, backward in time, lineages move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at rate</w:t>
      </w:r>
      <w:r>
        <w:t xml:space="preserve"> </w:t>
      </w:r>
      <m:oMath>
        <m:r>
          <m:t>m</m:t>
        </m:r>
      </m:oMath>
      <w:r>
        <w:t xml:space="preserve">). Each deme is assumed to follow neutral Wright-Fisher</w:t>
      </w:r>
      <w:r>
        <w:t xml:space="preserve"> </w:t>
      </w:r>
      <w:r>
        <w:t xml:space="preserve">dynamics, with coalescence rates</w:t>
      </w:r>
      <w:r>
        <w:t xml:space="preserve"> </w:t>
      </w:r>
      <m:oMath>
        <m:sSub>
          <m:e>
            <m:r>
              <m:t>λ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λ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  <m:sSub>
          <m:e>
            <m:r>
              <m:t>N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 population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respectively. We assume an infinite-sites</w:t>
      </w:r>
      <w:r>
        <w:t xml:space="preserve"> </w:t>
      </w:r>
      <w:r>
        <w:t xml:space="preserve">model where mutations occur at rate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per site, and each mutation occurs at</w:t>
      </w:r>
      <w:r>
        <w:t xml:space="preserve"> </w:t>
      </w:r>
      <w:r>
        <w:t xml:space="preserve">a previously unmutated site.</w:t>
      </w:r>
    </w:p>
    <w:p>
      <w:pPr>
        <w:pStyle w:val="BodyText"/>
      </w:pPr>
      <w:r>
        <w:t xml:space="preserve">Considering a sample of two haplotypes from each population (or a single</w:t>
      </w:r>
      <w:r>
        <w:t xml:space="preserve"> </w:t>
      </w:r>
      <w:r>
        <w:t xml:space="preserve">diploid individual in each population), we can distinguish five different</w:t>
      </w:r>
      <w:r>
        <w:t xml:space="preserve"> </w:t>
      </w:r>
      <w:r>
        <w:t xml:space="preserve">states or site patterns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55"/>
        <w:gridCol w:w="2299"/>
        <w:gridCol w:w="5365"/>
      </w:tblGrid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all samples are fixed for the same allele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FD</w:t>
            </w:r>
          </w:p>
        </w:tc>
        <w:tc>
          <w:tcPr/>
          <w:p>
            <w:pPr>
              <w:pStyle w:val="Compact"/>
            </w:pPr>
            <w:r>
              <w:t xml:space="preserve">fixed difference</w:t>
            </w:r>
          </w:p>
        </w:tc>
        <w:tc>
          <w:tcPr/>
          <w:p>
            <w:pPr>
              <w:pStyle w:val="Compact"/>
            </w:pPr>
            <w:r>
              <w:t xml:space="preserve">samples from the different populations are fixed for alternative alleles.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</w:t>
            </w:r>
          </w:p>
        </w:tc>
        <w:tc>
          <w:tcPr/>
          <w:p>
            <w:pPr>
              <w:pStyle w:val="Compact"/>
            </w:pPr>
            <w:r>
              <w:t xml:space="preserve">heterozygous in</w:t>
            </w:r>
            <w:r>
              <w:t xml:space="preserve"> 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samples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have different alleles, whereas those from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have identical alleles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HB</w:t>
            </w:r>
          </w:p>
        </w:tc>
        <w:tc>
          <w:tcPr/>
          <w:p>
            <w:pPr>
              <w:pStyle w:val="Compact"/>
            </w:pPr>
            <w:r>
              <w:t xml:space="preserve">heterozygous in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samples from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have different alleles, whereas those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have identical alleles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HAB</w:t>
            </w:r>
          </w:p>
        </w:tc>
        <w:tc>
          <w:tcPr/>
          <w:p>
            <w:pPr>
              <w:pStyle w:val="Compact"/>
            </w:pPr>
            <w:r>
              <w:t xml:space="preserve">heterozygous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the samples within each population have different alleles</w:t>
            </w:r>
          </w:p>
        </w:tc>
      </w:tr>
    </w:tbl>
    <w:p>
      <w:pPr>
        <w:pStyle w:val="BodyText"/>
      </w:pPr>
      <w:r>
        <w:t xml:space="preserve">Under the stated model, one can determine in a relatively straightforward</w:t>
      </w:r>
      <w:r>
        <w:t xml:space="preserve"> </w:t>
      </w:r>
      <w:r>
        <w:t xml:space="preserve">manner the probability of each states given the relative rates of mutation,</w:t>
      </w:r>
      <w:r>
        <w:t xml:space="preserve"> </w:t>
      </w:r>
      <w:r>
        <w:t xml:space="preserve">coalescence and migration, as these are competing exponential processes, and</w:t>
      </w:r>
      <w:r>
        <w:t xml:space="preserve"> </w:t>
      </w:r>
      <w:r>
        <w:t xml:space="preserve">the state is determined as soon as a mutation happens (as a consequence of the</w:t>
      </w:r>
      <w:r>
        <w:t xml:space="preserve"> </w:t>
      </w:r>
      <w:r>
        <w:t xml:space="preserve">infinite sites assumption).</w:t>
      </w:r>
      <w:r>
        <w:t xml:space="preserve"> </w:t>
      </w:r>
      <w:r>
        <w:t xml:space="preserve">The expressions are highly unwieldy, but are readily found using a computer</w:t>
      </w:r>
      <w:r>
        <w:t xml:space="preserve"> </w:t>
      </w:r>
      <w:r>
        <w:t xml:space="preserve">algebra system.</w:t>
      </w:r>
      <w:r>
        <w:t xml:space="preserve"> </w:t>
      </w:r>
      <w:r>
        <w:t xml:space="preserve">A simple composite (CL) likelihood approach then suggests itself: count site</w:t>
      </w:r>
      <w:r>
        <w:t xml:space="preserve"> </w:t>
      </w:r>
      <w:r>
        <w:t xml:space="preserve">patterns in observed data and use a Multinomial likelihood. Setting the</w:t>
      </w:r>
      <w:r>
        <w:t xml:space="preserve"> </w:t>
      </w:r>
      <w:r>
        <w:t xml:space="preserve">mutation rate to some reasonable estimate, one can then estimate parameters on</w:t>
      </w:r>
      <w:r>
        <w:t xml:space="preserve"> </w:t>
      </w:r>
      <w:r>
        <w:t xml:space="preserve">the time-scale set by the mutation rate.</w:t>
      </w:r>
    </w:p>
    <w:p>
      <w:pPr>
        <w:pStyle w:val="BodyText"/>
      </w:pPr>
      <w:r>
        <w:rPr>
          <w:b/>
          <w:bCs/>
        </w:rPr>
        <w:t xml:space="preserve">Important challenge</w:t>
      </w:r>
      <w:r>
        <w:t xml:space="preserve">: A similar CL approach may be possible under the IM</w:t>
      </w:r>
      <w:r>
        <w:t xml:space="preserve"> </w:t>
      </w:r>
      <w:r>
        <w:t xml:space="preserve">model, where the site-pattern likelihoods could be obtained using the</w:t>
      </w:r>
      <w:r>
        <w:t xml:space="preserve"> </w:t>
      </w:r>
      <w:r>
        <w:t xml:space="preserve">generating function approach (perhaps symbolically?).</w:t>
      </w:r>
    </w:p>
    <w:bookmarkEnd w:id="28"/>
    <w:bookmarkStart w:id="42" w:name="Xd9903fe196a09423db90c7c925055d34c199864"/>
    <w:p>
      <w:pPr>
        <w:pStyle w:val="Heading2"/>
      </w:pPr>
      <w:r>
        <w:t xml:space="preserve">Bayesian inference with the composite likelihood</w:t>
      </w:r>
    </w:p>
    <w:p>
      <w:pPr>
        <w:pStyle w:val="FirstParagraph"/>
      </w:pPr>
      <w:r>
        <w:t xml:space="preserve">@Fig:sims</w:t>
      </w:r>
      <w:r>
        <w:t xml:space="preserve"> </w:t>
      </w:r>
      <w:r>
        <w:t xml:space="preserve">shows results from a forward simulation with 100 loci under selection</w:t>
      </w:r>
      <w:r>
        <w:t xml:space="preserve"> </w:t>
      </w:r>
      <w:r>
        <w:t xml:space="preserve">along a 10M chromosome (a one-chromosome genome, say). The detailed theory of</w:t>
      </w:r>
      <w:r>
        <w:t xml:space="preserve"> </w:t>
      </w:r>
      <w:r>
        <w:t xml:space="preserve">@zwaenepoel2024</w:t>
      </w:r>
      <w:r>
        <w:t xml:space="preserve"> </w:t>
      </w:r>
      <w:r>
        <w:t xml:space="preserve">fits the observations quite nicely. Partial divergence appears</w:t>
      </w:r>
      <w:r>
        <w:t xml:space="preserve"> </w:t>
      </w:r>
      <w:r>
        <w:t xml:space="preserve">to matter, but there seems to be no swamping and we assume a homogeneous</w:t>
      </w:r>
      <w:r>
        <w:t xml:space="preserve"> </w:t>
      </w:r>
      <w:r>
        <w:t xml:space="preserve">architecture, so one can accommodate this by inferring a smaller selection</w:t>
      </w:r>
      <w:r>
        <w:t xml:space="preserve"> </w:t>
      </w:r>
      <w:r>
        <w:t xml:space="preserve">coefficient I think.</w:t>
      </w:r>
    </w:p>
    <w:p>
      <w:pPr>
        <w:pStyle w:val="BodyText"/>
      </w:pPr>
      <w:r>
        <w:t xml:space="preserve">We conduct inference for the following model:</w:t>
      </w:r>
      <w:r>
        <w:t xml:space="preserve"> </w:t>
      </w:r>
      <w:r>
        <w:t xml:space="preserve"> </w:t>
      </w:r>
      <w:r>
        <w:t xml:space="preserve">The mutation rate is assumed known (one could also assume a known scaled</w:t>
      </w:r>
      <w:r>
        <w:t xml:space="preserve"> </w:t>
      </w:r>
      <w:r>
        <w:t xml:space="preserve">mutation rate I guess).</w:t>
      </w:r>
      <w:r>
        <w:t xml:space="preserve"> </w:t>
      </w:r>
      <w:r>
        <w:t xml:space="preserve">We compsoite the likelihood over all available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samples from the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populations.</w:t>
      </w:r>
      <w:r>
        <w:t xml:space="preserve"> </w:t>
      </w:r>
      <w:r>
        <w:t xml:space="preserve">The</w:t>
      </w:r>
      <w:r>
        <w:t xml:space="preserve"> </w:t>
      </w:r>
      <m:oMath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indicates that we use a power likelihood to calibrate the composite</w:t>
      </w:r>
      <w:r>
        <w:t xml:space="preserve"> </w:t>
      </w:r>
      <w:r>
        <w:t xml:space="preserve">likelihood.</w:t>
      </w:r>
      <w:r>
        <w:t xml:space="preserve"> </w:t>
      </w:r>
      <w:r>
        <w:t xml:space="preserve">For a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×</m:t>
        </m:r>
        <m:sSub>
          <m:e>
            <m:r>
              <m:t>k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sample, we used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B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i.e. the reciprocal of the number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comparisons.</w:t>
      </w:r>
      <w:r>
        <w:t xml:space="preserve"> </w:t>
      </w:r>
      <w:r>
        <w:t xml:space="preserve">This would be an overcorrection, as it corresponds roughly to the assumption</w:t>
      </w:r>
      <w:r>
        <w:t xml:space="preserve"> </w:t>
      </w:r>
      <w:r>
        <w:t xml:space="preserve">that a single site provides a single site pattern count, whereas it should</w:t>
      </w:r>
      <w:r>
        <w:t xml:space="preserve"> </w:t>
      </w:r>
      <w:r>
        <w:t xml:space="preserve">coorespond to an effective number of data points which is somehow in between 1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rPr>
          <w:rStyle w:val="FootnoteReference"/>
        </w:rPr>
        <w:footnoteReference w:id="29"/>
      </w:r>
      <w:r>
        <w:t xml:space="preserve"> </w:t>
      </w:r>
      <w:r>
        <w:t xml:space="preserve">Here we assumed the available data to consist of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samples form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@Fig:trace1</w:t>
      </w:r>
      <w:r>
        <w:t xml:space="preserve"> </w:t>
      </w:r>
      <w:r>
        <w:t xml:space="preserve">shows trace plots and marginal posterior densities.</w:t>
      </w:r>
      <w:r>
        <w:t xml:space="preserve"> </w:t>
      </w:r>
      <w:r>
        <w:t xml:space="preserve">@Fig:post1</w:t>
      </w:r>
      <w:r>
        <w:t xml:space="preserve"> </w:t>
      </w:r>
      <w:r>
        <w:t xml:space="preserve">shows the inferred number of selected sites in each window and the</w:t>
      </w:r>
      <w:r>
        <w:t xml:space="preserve"> </w:t>
      </w:r>
      <w:r>
        <w:t xml:space="preserve">inferred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profile.</w:t>
      </w:r>
      <w:r>
        <w:t xml:space="preserve"> </w:t>
      </w:r>
      <w:r>
        <w:t xml:space="preserve">It seems that we do recover a reasonable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profile.</w:t>
      </w:r>
    </w:p>
    <w:bookmarkStart w:id="33" w:name="fig:sims"/>
    <w:p>
      <w:pPr>
        <w:pStyle w:val="CaptionedFigure"/>
      </w:pPr>
      <w:r>
        <w:drawing>
          <wp:inline>
            <wp:extent cx="5334000" cy="2909454"/>
            <wp:effectExtent b="0" l="0" r="0" t="0"/>
            <wp:docPr descr="Example of a forward simulation. We assume the two-island model, with two populations of size 500, assuming unidirectional migration at rate m=0.008 and 100 selected biallelic loci uniformly scattered across the genome, each with selection coefficient s=0.01. In addition, we track evolution at 100.000 neutral biallelic loci. Top row, left: predicted vs. observed allele frequency divergence at selected sites. Vertical lines are the locations of selected sites. Top row, right: predicted vs. observed F_\mathrm{ST} (neutral sites, averaged in windows). Middle row: different m_e predictions. Bottom row: different F_\mathrm{ST} predictions." title="" id="31" name="Picture"/>
            <a:graphic>
              <a:graphicData uri="http://schemas.openxmlformats.org/drawingml/2006/picture">
                <pic:pic>
                  <pic:nvPicPr>
                    <pic:cNvPr descr="/home/arzwa/vimwiki/build/img/2025-05-05-fwdsim-ex.pdf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of a forward simulation.</w:t>
      </w:r>
      <w:r>
        <w:t xml:space="preserve"> </w:t>
      </w:r>
      <w:r>
        <w:t xml:space="preserve">We assume the two-island model, with two populations of size 500, assuming</w:t>
      </w:r>
      <w:r>
        <w:t xml:space="preserve"> </w:t>
      </w:r>
      <w:r>
        <w:t xml:space="preserve">unidirectional migration at rate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0.008</m:t>
        </m:r>
      </m:oMath>
      <w:r>
        <w:t xml:space="preserve"> </w:t>
      </w:r>
      <w:r>
        <w:t xml:space="preserve">and 100 selected biallelic loci</w:t>
      </w:r>
      <w:r>
        <w:t xml:space="preserve"> </w:t>
      </w:r>
      <w:r>
        <w:t xml:space="preserve">uniformly scattered across the genome, each with selection coefficient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0.01</m:t>
        </m:r>
      </m:oMath>
      <w:r>
        <w:t xml:space="preserve">.</w:t>
      </w:r>
      <w:r>
        <w:t xml:space="preserve"> </w:t>
      </w:r>
      <w:r>
        <w:t xml:space="preserve">In addition, we track evolution at 100.000 neutral biallelic loci.</w:t>
      </w:r>
      <w:r>
        <w:t xml:space="preserve"> </w:t>
      </w:r>
      <w:r>
        <w:t xml:space="preserve">Top row, left: predicted vs. observed allele frequency divergence at selected</w:t>
      </w:r>
      <w:r>
        <w:t xml:space="preserve"> </w:t>
      </w:r>
      <w:r>
        <w:t xml:space="preserve">sites. Vertical lines are the locations of selected sites.</w:t>
      </w:r>
      <w:r>
        <w:t xml:space="preserve"> </w:t>
      </w:r>
      <w:r>
        <w:t xml:space="preserve">Top row, right: predicted vs. observed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(neutral sites, averaged</w:t>
      </w:r>
      <w:r>
        <w:t xml:space="preserve"> </w:t>
      </w:r>
      <w:r>
        <w:t xml:space="preserve">in windows).</w:t>
      </w:r>
      <w:r>
        <w:t xml:space="preserve"> </w:t>
      </w:r>
      <w:r>
        <w:t xml:space="preserve">Middle row: different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predictions.</w:t>
      </w:r>
      <w:r>
        <w:t xml:space="preserve"> </w:t>
      </w:r>
      <w:r>
        <w:t xml:space="preserve">Bottom row: different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predictions.</w:t>
      </w:r>
    </w:p>
    <w:bookmarkEnd w:id="33"/>
    <w:bookmarkStart w:id="37" w:name="fig:trace1"/>
    <w:p>
      <w:pPr>
        <w:pStyle w:val="CaptionedFigure"/>
      </w:pPr>
      <w:r>
        <w:drawing>
          <wp:inline>
            <wp:extent cx="5334000" cy="1333500"/>
            <wp:effectExtent b="0" l="0" r="0" t="0"/>
            <wp:docPr descr="Trace plots for inference m, s, \lambda=1/N_{e,A}, \alpha = N_{e,A}/N_{e,B} and \nu for a 5\times 5 sample of the simulated data (cfr. @fig:sims). We use c=0.01 as power likelihood. The mutation rate u is assumed known. A Gamma(10,1) prior is assumed for \nu, and exponential priors with mean set to the true values for the other parameters." title="" id="35" name="Picture"/>
            <a:graphic>
              <a:graphicData uri="http://schemas.openxmlformats.org/drawingml/2006/picture">
                <pic:pic>
                  <pic:nvPicPr>
                    <pic:cNvPr descr="/home/arzwa/vimwiki/build/img/2025-05-05-trace.pdf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Trace plots for inference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A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e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for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5</m:t>
        </m:r>
      </m:oMath>
      <w:r>
        <w:t xml:space="preserve"> </w:t>
      </w:r>
      <w:r>
        <w:t xml:space="preserve">sample of the simulated data (cfr.</w:t>
      </w:r>
      <w:r>
        <w:t xml:space="preserve"> </w:t>
      </w:r>
      <w:r>
        <w:t xml:space="preserve">@fig:sims</w:t>
      </w:r>
      <w:r>
        <w:t xml:space="preserve">).</w:t>
      </w:r>
      <w:r>
        <w:t xml:space="preserve"> </w:t>
      </w:r>
      <w:r>
        <w:t xml:space="preserve">We use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as power likelihood. The mutation rate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assumed known.</w:t>
      </w:r>
      <w:r>
        <w:t xml:space="preserve"> </w:t>
      </w:r>
      <w:r>
        <w:t xml:space="preserve">A Gamma(10,1) prior is assumed for</w:t>
      </w:r>
      <w:r>
        <w:t xml:space="preserve"> </w:t>
      </w:r>
      <m:oMath>
        <m:r>
          <m:t>ν</m:t>
        </m:r>
      </m:oMath>
      <w:r>
        <w:t xml:space="preserve">, and exponential priors with mean set</w:t>
      </w:r>
      <w:r>
        <w:t xml:space="preserve"> </w:t>
      </w:r>
      <w:r>
        <w:t xml:space="preserve">to the true values for the other parameters.</w:t>
      </w:r>
    </w:p>
    <w:bookmarkEnd w:id="37"/>
    <w:bookmarkStart w:id="41" w:name="fig:post1"/>
    <w:p>
      <w:pPr>
        <w:pStyle w:val="CaptionedFigure"/>
      </w:pPr>
      <w:r>
        <w:drawing>
          <wp:inline>
            <wp:extent cx="5334000" cy="2286000"/>
            <wp:effectExtent b="0" l="0" r="0" t="0"/>
            <wp:docPr descr="Marginal posterior distribution for the number of selected sites and m_e in each window, based on the same sample as displayed in @fig:trace1." title="" id="39" name="Picture"/>
            <a:graphic>
              <a:graphicData uri="http://schemas.openxmlformats.org/drawingml/2006/picture">
                <pic:pic>
                  <pic:nvPicPr>
                    <pic:cNvPr descr="/home/arzwa/vimwiki/build/img/2025-05-05-post.pdf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Marginal posterior distribution for the number of selected sites and</w:t>
      </w:r>
      <w:r>
        <w:t xml:space="preserve"> </w:t>
      </w:r>
      <m:oMath>
        <m:sSub>
          <m:e>
            <m:r>
              <m:t>m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in each</w:t>
      </w:r>
      <w:r>
        <w:t xml:space="preserve"> </w:t>
      </w:r>
      <w:r>
        <w:t xml:space="preserve">window, based on the same sample as displayed in</w:t>
      </w:r>
      <w:r>
        <w:t xml:space="preserve"> </w:t>
      </w:r>
      <w:r>
        <w:t xml:space="preserve">@fig:trace1</w:t>
      </w:r>
      <w:r>
        <w:t xml:space="preserve">.</w:t>
      </w:r>
    </w:p>
    <w:bookmarkEnd w:id="41"/>
    <w:bookmarkEnd w:id="42"/>
    <w:bookmarkStart w:id="48" w:name="X61b25893d888dc846c9df79f8f0f04f58309579"/>
    <w:p>
      <w:pPr>
        <w:pStyle w:val="Heading2"/>
      </w:pPr>
      <w:r>
        <w:t xml:space="preserve">Empirical calibration of the composite likelihood</w:t>
      </w:r>
    </w:p>
    <w:p>
      <w:pPr>
        <w:pStyle w:val="FirstParagraph"/>
      </w:pPr>
      <w:r>
        <w:t xml:space="preserve">The composite likelihood yields an unbiased approximation to the true</w:t>
      </w:r>
      <w:r>
        <w:t xml:space="preserve"> </w:t>
      </w:r>
      <w:r>
        <w:t xml:space="preserve">likelihood (in the sense that MLE’s are unbiased), but yields to narrow</w:t>
      </w:r>
      <w:r>
        <w:t xml:space="preserve"> </w:t>
      </w:r>
      <w:r>
        <w:t xml:space="preserve">credible intervals in a Bayesian context. This is because we treat the data</w:t>
      </w:r>
      <w:r>
        <w:t xml:space="preserve"> </w:t>
      </w:r>
      <w:r>
        <w:t xml:space="preserve">(sites,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comparisons) as independent, wherease they are not</w:t>
      </w:r>
      <w:r>
        <w:t xml:space="preserve"> </w:t>
      </w:r>
      <w:r>
        <w:t xml:space="preserve">(because of linkage and the genealogical tree relating all samples,</w:t>
      </w:r>
      <w:r>
        <w:t xml:space="preserve"> </w:t>
      </w:r>
      <w:r>
        <w:t xml:space="preserve">respectively). We can use a power likelihood to correct for this</w:t>
      </w:r>
      <w:r>
        <w:t xml:space="preserve"> </w:t>
      </w:r>
      <w:r>
        <w:t xml:space="preserve">overconfidence, i.e. we raise the lieklihood to some power</w:t>
      </w:r>
      <w:r>
        <w:t xml:space="preserve"> </w:t>
      </w:r>
      <m:oMath>
        <m:r>
          <m:t>c</m:t>
        </m:r>
      </m:oMath>
      <w:r>
        <w:t xml:space="preserve">, where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One can think of this as rescaling the likelihood by figuring out how many</w:t>
      </w:r>
      <w:r>
        <w:t xml:space="preserve"> </w:t>
      </w:r>
      <w:r>
        <w:t xml:space="preserve">effectively independent data points one has (roughly: we have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effective</w:t>
      </w:r>
      <w:r>
        <w:t xml:space="preserve"> </w:t>
      </w:r>
      <w:r>
        <w:t xml:space="preserve">data points per site that enters the composite likelihood calculation).</w:t>
      </w:r>
    </w:p>
    <w:p>
      <w:pPr>
        <w:pStyle w:val="BodyText"/>
      </w:pPr>
      <w:r>
        <w:t xml:space="preserve">The question remains: how to choose</w:t>
      </w:r>
      <w:r>
        <w:t xml:space="preserve"> </w:t>
      </w:r>
      <m:oMath>
        <m:r>
          <m:t>c</m:t>
        </m:r>
      </m:oMath>
      <w:r>
        <w:t xml:space="preserve">?</w:t>
      </w:r>
      <w:r>
        <w:t xml:space="preserve"> </w:t>
      </w:r>
      <w:r>
        <w:t xml:space="preserve">Recall that we have chopped the genome in windows. We assume that compositing</w:t>
      </w:r>
      <w:r>
        <w:t xml:space="preserve"> </w:t>
      </w:r>
      <w:r>
        <w:t xml:space="preserve">window likelihoods is OK (linkage is sufficiently weak between windows).</w:t>
      </w:r>
      <w:r>
        <w:t xml:space="preserve"> </w:t>
      </w:r>
      <w:r>
        <w:t xml:space="preserve">A possible empirical approach to obtain a decent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following:</w:t>
      </w:r>
    </w:p>
    <w:p>
      <w:pPr>
        <w:pStyle w:val="Compact"/>
        <w:numPr>
          <w:ilvl w:val="0"/>
          <w:numId w:val="1001"/>
        </w:numPr>
      </w:pPr>
      <w:r>
        <w:t xml:space="preserve">For a given parameter set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N</m:t>
                </m:r>
              </m:e>
              <m:sub>
                <m:r>
                  <m:t>e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sub>
            </m:sSub>
            <m:r>
              <m:rPr>
                <m:sty m:val="p"/>
              </m:rPr>
              <m:t>,</m:t>
            </m:r>
            <m:r>
              <m:t>u</m:t>
            </m:r>
          </m:e>
        </m:d>
      </m:oMath>
      <w:r>
        <w:t xml:space="preserve">, simulate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sample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coalescent with recombination for a stretch of</w:t>
      </w:r>
      <w:r>
        <w:t xml:space="preserve"> </w:t>
      </w:r>
      <w:r>
        <w:t xml:space="preserve">genome corresponding to the window size.</w:t>
      </w:r>
    </w:p>
    <w:p>
      <w:pPr>
        <w:pStyle w:val="Compact"/>
        <w:numPr>
          <w:ilvl w:val="0"/>
          <w:numId w:val="1001"/>
        </w:numPr>
      </w:pPr>
      <w:r>
        <w:t xml:space="preserve">Determine the posterior distribution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|</m:t>
            </m:r>
            <m:r>
              <m:t>y</m:t>
            </m:r>
          </m:e>
        </m:d>
      </m:oMath>
      <w:r>
        <w:t xml:space="preserve"> </w:t>
      </w:r>
      <w:r>
        <w:t xml:space="preserve">using ABC (conditioning on the</w:t>
      </w:r>
      <w:r>
        <w:t xml:space="preserve"> </w:t>
      </w:r>
      <w:r>
        <w:t xml:space="preserve">true values for the other parameters).</w:t>
      </w:r>
    </w:p>
    <w:p>
      <w:pPr>
        <w:pStyle w:val="Compact"/>
        <w:numPr>
          <w:ilvl w:val="0"/>
          <w:numId w:val="1001"/>
        </w:numPr>
      </w:pPr>
      <w:r>
        <w:t xml:space="preserve">Choose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a</m:t>
        </m:r>
        <m:r>
          <m:rPr>
            <m:sty m:val="p"/>
          </m:rPr>
          <m:t>r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t>K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|</m:t>
                </m:r>
                <m:r>
                  <m:t>y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c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|</m:t>
                </m:r>
                <m:r>
                  <m:t>y</m:t>
                </m:r>
              </m:e>
            </m:d>
          </m:e>
        </m:d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c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|</m:t>
            </m:r>
            <m:r>
              <m:t>y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w:r>
        <w:t xml:space="preserve">the posterior with the composite likelihood as sampling distribution.</w:t>
      </w:r>
    </w:p>
    <w:p>
      <w:pPr>
        <w:pStyle w:val="FirstParagraph"/>
      </w:pPr>
      <w:r>
        <w:t xml:space="preserve">The overall idea/motivation is: full-scale ABC is infeasible, but we can do ABC</w:t>
      </w:r>
      <w:r>
        <w:t xml:space="preserve"> </w:t>
      </w:r>
      <w:r>
        <w:t xml:space="preserve">on a small scale (single window, single parameter) to inform the composite</w:t>
      </w:r>
      <w:r>
        <w:t xml:space="preserve"> </w:t>
      </w:r>
      <w:r>
        <w:t xml:space="preserve">likelihood calibration.</w:t>
      </w:r>
    </w:p>
    <w:p>
      <w:pPr>
        <w:pStyle w:val="BodyText"/>
      </w:pPr>
      <w:r>
        <w:t xml:space="preserve">There are a couple of issues with this.</w:t>
      </w:r>
    </w:p>
    <w:p>
      <w:pPr>
        <w:pStyle w:val="Compact"/>
        <w:numPr>
          <w:ilvl w:val="0"/>
          <w:numId w:val="1002"/>
        </w:numPr>
      </w:pPr>
      <w:r>
        <w:t xml:space="preserve">It is noisy, as it depends on a single realization of the coalescent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 </w:t>
      </w:r>
      <w:r>
        <w:t xml:space="preserve">which is noisy. (possible solution: we can repeat the procedure and get the</w:t>
      </w:r>
      <w:r>
        <w:t xml:space="preserve"> </w:t>
      </w:r>
      <w:r>
        <w:t xml:space="preserve">mean of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How should one choose the other parameters? Do they matter (much)? Some</w:t>
      </w:r>
      <w:r>
        <w:t xml:space="preserve"> </w:t>
      </w:r>
      <w:r>
        <w:t xml:space="preserve">preliminary simulations suggest they do matter.</w:t>
      </w:r>
    </w:p>
    <w:bookmarkStart w:id="47" w:name="Xf6105f7bf4e4966db8489f4bc5e01f8dd1fddac"/>
    <w:p>
      <w:pPr>
        <w:pStyle w:val="Heading3"/>
      </w:pPr>
      <w:r>
        <w:t xml:space="preserve">Implementation details of the calibration approach</w:t>
      </w:r>
    </w:p>
    <w:p>
      <w:pPr>
        <w:pStyle w:val="FirstParagraph"/>
      </w:pPr>
      <w:r>
        <w:t xml:space="preserve">There are many ways to do the ABC-based calibration outlined above.</w:t>
      </w:r>
      <w:r>
        <w:t xml:space="preserve"> </w:t>
      </w:r>
      <w:r>
        <w:t xml:space="preserve">A basic approach which appears to work is as follows:</w:t>
      </w:r>
    </w:p>
    <w:p>
      <w:pPr>
        <w:pStyle w:val="Compact"/>
        <w:numPr>
          <w:ilvl w:val="0"/>
          <w:numId w:val="1003"/>
        </w:numPr>
      </w:pPr>
      <w:r>
        <w:t xml:space="preserve">Simulate a data set from</w:t>
      </w:r>
      <w:r>
        <w:t xml:space="preserve"> </w:t>
      </w:r>
      <m:oMath>
        <m:r>
          <m:t>y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,</m:t>
        </m:r>
        <m:r>
          <m:t>m</m:t>
        </m:r>
      </m:oMath>
      <w:r>
        <w:t xml:space="preserve">, calculate the jSFS. Call this the</w:t>
      </w:r>
      <w:r>
        <w:t xml:space="preserve"> </w:t>
      </w:r>
      <w:r>
        <w:t xml:space="preserve">calibration data set.</w:t>
      </w:r>
    </w:p>
    <w:p>
      <w:pPr>
        <w:pStyle w:val="Compact"/>
        <w:numPr>
          <w:ilvl w:val="0"/>
          <w:numId w:val="1003"/>
        </w:numPr>
      </w:pPr>
      <w:r>
        <w:t xml:space="preserve">Simulate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  <m:r>
              <m:t>B</m:t>
            </m:r>
            <m:r>
              <m:t>C</m:t>
            </m:r>
          </m:sub>
        </m:sSub>
      </m:oMath>
      <w:r>
        <w:t xml:space="preserve"> </w:t>
      </w:r>
      <w:r>
        <w:t xml:space="preserve">data sets from</w:t>
      </w:r>
      <w:r>
        <w:t xml:space="preserve"> </w:t>
      </w:r>
      <m:oMath>
        <m:r>
          <m:t>y</m:t>
        </m:r>
        <m:r>
          <m:rPr>
            <m:sty m:val="p"/>
          </m:rPr>
          <m:t>|</m:t>
        </m:r>
        <m:r>
          <m:t>θ</m:t>
        </m:r>
      </m:oMath>
      <w:r>
        <w:t xml:space="preserve">, i.e. integrating over the</w:t>
      </w:r>
      <w:r>
        <w:t xml:space="preserve"> </w:t>
      </w:r>
      <w:r>
        <w:t xml:space="preserve">prior (draw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from the prior, draw</w:t>
      </w:r>
      <w:r>
        <w:t xml:space="preserve"> </w:t>
      </w:r>
      <m:oMath>
        <m:r>
          <m:t>y</m:t>
        </m:r>
        <m:r>
          <m:rPr>
            <m:sty m:val="p"/>
          </m:rPr>
          <m:t>|</m:t>
        </m:r>
        <m:r>
          <m:t>θ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as in (1), using the</w:t>
      </w:r>
      <w:r>
        <w:t xml:space="preserve"> </w:t>
      </w:r>
      <w:r>
        <w:t xml:space="preserve">same sample size as in (1). Calculate the jSFS, and calculate the sum of</w:t>
      </w:r>
      <w:r>
        <w:t xml:space="preserve"> </w:t>
      </w:r>
      <w:r>
        <w:t xml:space="preserve">squared differences</w:t>
      </w:r>
      <w:r>
        <w:t xml:space="preserve"> </w:t>
      </w:r>
      <m:oMath>
        <m:r>
          <m:t>S</m:t>
        </m:r>
        <m:r>
          <m:t>S</m:t>
        </m:r>
        <m:r>
          <m:t>D</m:t>
        </m:r>
      </m:oMath>
      <w:r>
        <w:t xml:space="preserve"> </w:t>
      </w:r>
      <w:r>
        <w:t xml:space="preserve">between this jSFS and the jSFS of the calibration</w:t>
      </w:r>
      <w:r>
        <w:t xml:space="preserve"> </w:t>
      </w:r>
      <w:r>
        <w:t xml:space="preserve">data set.</w:t>
      </w:r>
    </w:p>
    <w:p>
      <w:pPr>
        <w:pStyle w:val="Compact"/>
        <w:numPr>
          <w:ilvl w:val="0"/>
          <w:numId w:val="1003"/>
        </w:numPr>
      </w:pPr>
      <w:r>
        <w:t xml:space="preserve">Obtain the subset of (2) for which</w:t>
      </w:r>
      <w:r>
        <w:t xml:space="preserve"> </w:t>
      </w:r>
      <m:oMath>
        <m:r>
          <m:t>S</m:t>
        </m:r>
        <m:r>
          <m:t>S</m:t>
        </m:r>
        <m:r>
          <m:t>D</m:t>
        </m:r>
        <m:r>
          <m:rPr>
            <m:sty m:val="p"/>
          </m:rPr>
          <m:t>&lt;</m:t>
        </m:r>
        <m:r>
          <m:t>ϵ</m:t>
        </m:r>
      </m:oMath>
      <w:r>
        <w:t xml:space="preserve">, where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is for</w:t>
      </w:r>
      <w:r>
        <w:t xml:space="preserve"> </w:t>
      </w:r>
      <w:r>
        <w:t xml:space="preserve">instance the 0.05 percentile of the</w:t>
      </w:r>
      <w:r>
        <w:t xml:space="preserve"> </w:t>
      </w:r>
      <m:oMath>
        <m:r>
          <m:t>S</m:t>
        </m:r>
        <m:r>
          <m:t>S</m:t>
        </m:r>
        <m:r>
          <m:t>D</m:t>
        </m:r>
      </m:oMath>
      <w:r>
        <w:t xml:space="preserve"> </w:t>
      </w:r>
      <w:r>
        <w:t xml:space="preserve">values. The associated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values</w:t>
      </w:r>
      <w:r>
        <w:t xml:space="preserve"> </w:t>
      </w:r>
      <w:r>
        <w:t xml:space="preserve">are an ABC approximation to the posterior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|</m:t>
            </m:r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Fit a Lognormal (or Gamma) approximation to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|</m:t>
            </m:r>
            <m:r>
              <m:t>θ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Find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n</m:t>
            </m:r>
          </m:e>
          <m:sub>
            <m:r>
              <m:t>c</m:t>
            </m:r>
          </m:sub>
        </m:sSub>
        <m:r>
          <m:t>K</m:t>
        </m:r>
        <m:r>
          <m:t>L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  <m:r>
              <m:rPr>
                <m:sty m:val="p"/>
              </m:rPr>
              <m:t>,</m:t>
            </m:r>
            <m:sSub>
              <m:e>
                <m:r>
                  <m:t>p</m:t>
                </m:r>
              </m:e>
              <m:sub>
                <m:r>
                  <m:t>c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r>
                  <m:t>m</m:t>
                </m:r>
                <m:r>
                  <m:rPr>
                    <m:sty m:val="p"/>
                  </m:rPr>
                  <m:t>|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</m:e>
            </m:d>
          </m:e>
        </m:d>
      </m:oMath>
    </w:p>
    <w:p>
      <w:pPr>
        <w:pStyle w:val="Compact"/>
        <w:numPr>
          <w:ilvl w:val="0"/>
          <w:numId w:val="1003"/>
        </w:numPr>
      </w:pPr>
      <w:r>
        <w:t xml:space="preserve">Repeat this a number of times and take the mean of the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</m:oMath>
      <w:r>
        <w:t xml:space="preserve"> </w:t>
      </w:r>
      <w:r>
        <w:t xml:space="preserve">values.</w:t>
      </w:r>
    </w:p>
    <w:p>
      <w:pPr>
        <w:pStyle w:val="FirstParagraph"/>
      </w:pPr>
      <w:r>
        <w:t xml:space="preserve">Doing this for the simulation data set analyzed above, we get</w:t>
      </w:r>
      <w:r>
        <w:t xml:space="preserve"> </w:t>
      </w:r>
      <m:oMath>
        <m:acc>
          <m:accPr>
            <m:chr m:val="̂"/>
          </m:accPr>
          <m:e>
            <m:r>
              <m:t>c</m:t>
            </m:r>
          </m:e>
        </m:acc>
        <m:r>
          <m:rPr>
            <m:sty m:val="p"/>
          </m:rPr>
          <m:t>≈</m:t>
        </m:r>
        <m:r>
          <m:t>0.0005</m:t>
        </m:r>
      </m:oMath>
      <w:r>
        <w:t xml:space="preserve"> </w:t>
      </w:r>
      <w:r>
        <w:t xml:space="preserve">for a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 </w:t>
      </w:r>
      <w:r>
        <w:t xml:space="preserve">sample (</w:t>
      </w:r>
      <w:r>
        <w:t xml:space="preserve">@fig:calibrated</w:t>
      </w:r>
      <w:r>
        <w:t xml:space="preserve">).</w:t>
      </w:r>
    </w:p>
    <w:bookmarkStart w:id="46" w:name="fig:calibrated"/>
    <w:p>
      <w:pPr>
        <w:pStyle w:val="CaptionedFigure"/>
      </w:pPr>
      <w:r>
        <w:drawing>
          <wp:inline>
            <wp:extent cx="5334000" cy="2286000"/>
            <wp:effectExtent b="0" l="0" r="0" t="0"/>
            <wp:docPr descr="Results with the calibrated CL." title="" id="44" name="Picture"/>
            <a:graphic>
              <a:graphicData uri="http://schemas.openxmlformats.org/drawingml/2006/picture">
                <pic:pic>
                  <pic:nvPicPr>
                    <pic:cNvPr descr="/home/arzwa/vimwiki/build/img/2025-05-20-fwdsim-10x10-c0005.pdf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Results with the calibrated CL.</w:t>
      </w:r>
    </w:p>
    <w:bookmarkEnd w:id="46"/>
    <w:bookmarkEnd w:id="47"/>
    <w:bookmarkEnd w:id="48"/>
    <w:bookmarkStart w:id="49" w:name="references"/>
    <w:p>
      <w:pPr>
        <w:pStyle w:val="Heading2"/>
      </w:pPr>
      <w:r>
        <w:t xml:space="preserve">References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Perhaps it would be better to use something like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A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×</m:t>
            </m:r>
            <m:sSub>
              <m:e>
                <m:r>
                  <m:t>k</m:t>
                </m:r>
              </m:e>
              <m:sub>
                <m:r>
                  <m:t>B</m:t>
                </m:r>
              </m:sub>
            </m:sSub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k</m:t>
                    </m:r>
                  </m:e>
                  <m:sub>
                    <m:r>
                      <m:t>B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. Somehow the number of effective</w:t>
      </w:r>
      <w:r>
        <w:t xml:space="preserve"> </w:t>
      </w:r>
      <w:r>
        <w:t xml:space="preserve">comparisons should be related to the number of nodes in the genealogy, which is</w:t>
      </w:r>
      <w:r>
        <w:t xml:space="preserve"> </w:t>
      </w:r>
      <w:r>
        <w:t xml:space="preserve">linear in the number of leaves, but it is complicated by the two-population</w:t>
      </w:r>
      <w:r>
        <w:t xml:space="preserve"> </w:t>
      </w:r>
      <w:r>
        <w:t xml:space="preserve">setting, so should it be proportional to the number of nodes in the</w:t>
      </w:r>
      <w:r>
        <w:t xml:space="preserve"> </w:t>
      </w:r>
      <w:r>
        <w:t xml:space="preserve">subpopulation genealogies? It would be good to check with our empirical</w:t>
      </w:r>
      <w:r>
        <w:t xml:space="preserve"> </w:t>
      </w:r>
      <w:r>
        <w:t xml:space="preserve">calibration approach.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df" /><Relationship Type="http://schemas.openxmlformats.org/officeDocument/2006/relationships/image" Id="rId20" Target="media/rId20.pdf" /><Relationship Type="http://schemas.openxmlformats.org/officeDocument/2006/relationships/image" Id="rId30" Target="media/rId30.pdf" /><Relationship Type="http://schemas.openxmlformats.org/officeDocument/2006/relationships/image" Id="rId38" Target="media/rId38.pdf" /><Relationship Type="http://schemas.openxmlformats.org/officeDocument/2006/relationships/image" Id="rId34" Target="media/rId34.pdf" /><Relationship Type="http://schemas.openxmlformats.org/officeDocument/2006/relationships/image" Id="rId43" Target="media/rId43.pd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Notes on modeling heterogeneous gene flow across the genome</dc:title>
  <dc:creator>Arthur Zwaenepoel</dc:creator>
  <cp:keywords/>
  <dcterms:created xsi:type="dcterms:W3CDTF">2025-05-29T10:33:43Z</dcterms:created>
  <dcterms:modified xsi:type="dcterms:W3CDTF">2025-05-29T10:33:43Z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12pt</vt:lpwstr>
  </property>
  <property fmtid="{D5CDD505-2E9C-101B-9397-08002B2CF9AE}" pid="3" name="geometry">
    <vt:lpwstr>margin=1in</vt:lpwstr>
  </property>
</Properties>
</file>