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200"/>
        <w:jc w:val="left"/>
      </w:pPr>
      <w:r>
        <w:rPr>
          <w:b/>
          <w:bCs/>
          <w:color w:val="3B5BDB"/>
          <w:spacing w:val="20"/>
          <w:sz w:val="22"/>
          <w:szCs w:val="22"/>
        </w:rPr>
        <w:t xml:space="preserve">PRODUCT REQUIREMENTS DOCUMENT</w:t>
      </w:r>
    </w:p>
    <w:p>
      <w:pPr>
        <w:spacing w:after="0" w:before="260"/>
      </w:pPr>
      <w:r>
        <w:rPr>
          <w:b/>
          <w:bCs/>
          <w:color w:val="1A1D29"/>
          <w:sz w:val="60"/>
          <w:szCs w:val="60"/>
        </w:rPr>
        <w:t xml:space="preserve">Telegram Referral &amp;</w:t>
      </w:r>
    </w:p>
    <w:p>
      <w:pPr>
        <w:spacing w:after="300" w:before="40"/>
      </w:pPr>
      <w:r>
        <w:rPr>
          <w:b/>
          <w:bCs/>
          <w:color w:val="1A1D29"/>
          <w:sz w:val="60"/>
          <w:szCs w:val="60"/>
        </w:rPr>
        <w:t xml:space="preserve">Community Growth Bot</w:t>
      </w:r>
    </w:p>
    <w:p>
      <w:pPr>
        <w:pBdr>
          <w:top w:val="single" w:color="3B5BDB" w:sz="16" w:space="8"/>
        </w:pBdr>
        <w:spacing w:after="400" w:before="100"/>
      </w:pPr>
    </w:p>
    <w:p>
      <w:pPr>
        <w:spacing w:after="120"/>
      </w:pPr>
      <w:r>
        <w:rPr>
          <w:i/>
          <w:iCs/>
          <w:color w:val="6B7280"/>
          <w:sz w:val="24"/>
          <w:szCs w:val="24"/>
        </w:rPr>
        <w:t xml:space="preserve">A bot and admin dashboard system to drive member acquisition, referral tracking, gamified engagement, and growth analytics for Telegram communities.</w:t>
      </w:r>
    </w:p>
    <w:p>
      <w:pPr>
        <w:spacing w:after="60" w:before="900"/>
      </w:pPr>
      <w:r>
        <w:rPr>
          <w:b/>
          <w:bCs/>
          <w:color w:val="26408A"/>
          <w:sz w:val="18"/>
          <w:szCs w:val="18"/>
        </w:rPr>
        <w:t xml:space="preserve">DOCUMENT VERSION</w:t>
      </w:r>
    </w:p>
    <w:p>
      <w:pPr>
        <w:spacing w:after="200"/>
      </w:pPr>
      <w:r>
        <w:rPr>
          <w:color w:val="1A1D29"/>
          <w:sz w:val="21"/>
          <w:szCs w:val="21"/>
        </w:rPr>
        <w:t xml:space="preserve">v1.0 — Draft for Review</w:t>
      </w:r>
    </w:p>
    <w:p>
      <w:pPr>
        <w:spacing w:after="60" w:before="0"/>
      </w:pPr>
      <w:r>
        <w:rPr>
          <w:b/>
          <w:bCs/>
          <w:color w:val="26408A"/>
          <w:sz w:val="18"/>
          <w:szCs w:val="18"/>
        </w:rPr>
        <w:t xml:space="preserve">DATE</w:t>
      </w:r>
    </w:p>
    <w:p>
      <w:pPr>
        <w:spacing w:after="200"/>
      </w:pPr>
      <w:r>
        <w:rPr>
          <w:color w:val="1A1D29"/>
          <w:sz w:val="21"/>
          <w:szCs w:val="21"/>
        </w:rPr>
        <w:t xml:space="preserve">18 Juli 2026</w:t>
      </w:r>
    </w:p>
    <w:p>
      <w:pPr>
        <w:spacing w:after="60" w:before="0"/>
      </w:pPr>
      <w:r>
        <w:rPr>
          <w:b/>
          <w:bCs/>
          <w:color w:val="26408A"/>
          <w:sz w:val="18"/>
          <w:szCs w:val="18"/>
        </w:rPr>
        <w:t xml:space="preserve">STATUS</w:t>
      </w:r>
    </w:p>
    <w:p>
      <w:r>
        <w:rPr>
          <w:color w:val="1A1D29"/>
          <w:sz w:val="21"/>
          <w:szCs w:val="21"/>
        </w:rPr>
        <w:t xml:space="preserve">Ready for Engineering Review</w:t>
      </w:r>
    </w:p>
    <w:p>
      <w:r>
        <w:br w:type="page"/>
      </w:r>
    </w:p>
    <w:p>
      <w:pPr>
        <w:pStyle w:val="Heading1"/>
        <w:spacing w:after="140" w:before="0"/>
        <w:outlineLvl w:val="0"/>
      </w:pPr>
      <w:r>
        <w:rPr>
          <w:b/>
          <w:bCs/>
        </w:rPr>
        <w:t xml:space="preserve">Table of Contents</w:t>
      </w:r>
    </w:p>
    <w:p>
      <w:pPr>
        <w:tabs>
          <w:tab w:val="right" w:pos="9026" w:leader="dot"/>
        </w:tabs>
        <w:spacing w:after="160"/>
      </w:pPr>
      <w:r>
        <w:rPr>
          <w:b/>
          <w:bCs/>
          <w:color w:val="26408A"/>
          <w:sz w:val="21"/>
          <w:szCs w:val="21"/>
        </w:rPr>
        <w:t xml:space="preserve">1.  </w:t>
      </w:r>
      <w:r>
        <w:rPr>
          <w:color w:val="1A1D29"/>
          <w:sz w:val="21"/>
          <w:szCs w:val="21"/>
        </w:rPr>
        <w:t xml:space="preserve">Overview</w:t>
      </w:r>
    </w:p>
    <w:p>
      <w:pPr>
        <w:tabs>
          <w:tab w:val="right" w:pos="9026" w:leader="dot"/>
        </w:tabs>
        <w:spacing w:after="160"/>
      </w:pPr>
      <w:r>
        <w:rPr>
          <w:b/>
          <w:bCs/>
          <w:color w:val="26408A"/>
          <w:sz w:val="21"/>
          <w:szCs w:val="21"/>
        </w:rPr>
        <w:t xml:space="preserve">2.  </w:t>
      </w:r>
      <w:r>
        <w:rPr>
          <w:color w:val="1A1D29"/>
          <w:sz w:val="21"/>
          <w:szCs w:val="21"/>
        </w:rPr>
        <w:t xml:space="preserve">Scope</w:t>
      </w:r>
    </w:p>
    <w:p>
      <w:pPr>
        <w:tabs>
          <w:tab w:val="right" w:pos="9026" w:leader="dot"/>
        </w:tabs>
        <w:spacing w:after="160"/>
      </w:pPr>
      <w:r>
        <w:rPr>
          <w:b/>
          <w:bCs/>
          <w:color w:val="26408A"/>
          <w:sz w:val="21"/>
          <w:szCs w:val="21"/>
        </w:rPr>
        <w:t xml:space="preserve">3.  </w:t>
      </w:r>
      <w:r>
        <w:rPr>
          <w:color w:val="1A1D29"/>
          <w:sz w:val="21"/>
          <w:szCs w:val="21"/>
        </w:rPr>
        <w:t xml:space="preserve">User Features (Telegram Bot)</w:t>
      </w:r>
    </w:p>
    <w:p>
      <w:pPr>
        <w:tabs>
          <w:tab w:val="right" w:pos="9026" w:leader="dot"/>
        </w:tabs>
        <w:spacing w:after="160"/>
      </w:pPr>
      <w:r>
        <w:rPr>
          <w:b/>
          <w:bCs/>
          <w:color w:val="26408A"/>
          <w:sz w:val="21"/>
          <w:szCs w:val="21"/>
        </w:rPr>
        <w:t xml:space="preserve">4.  </w:t>
      </w:r>
      <w:r>
        <w:rPr>
          <w:color w:val="1A1D29"/>
          <w:sz w:val="21"/>
          <w:szCs w:val="21"/>
        </w:rPr>
        <w:t xml:space="preserve">Referral Validation Rules</w:t>
      </w:r>
    </w:p>
    <w:p>
      <w:pPr>
        <w:tabs>
          <w:tab w:val="right" w:pos="9026" w:leader="dot"/>
        </w:tabs>
        <w:spacing w:after="160"/>
      </w:pPr>
      <w:r>
        <w:rPr>
          <w:b/>
          <w:bCs/>
          <w:color w:val="26408A"/>
          <w:sz w:val="21"/>
          <w:szCs w:val="21"/>
        </w:rPr>
        <w:t xml:space="preserve">5.  </w:t>
      </w:r>
      <w:r>
        <w:rPr>
          <w:color w:val="1A1D29"/>
          <w:sz w:val="21"/>
          <w:szCs w:val="21"/>
        </w:rPr>
        <w:t xml:space="preserve">Admin Dashboard</w:t>
      </w:r>
    </w:p>
    <w:p>
      <w:pPr>
        <w:tabs>
          <w:tab w:val="right" w:pos="9026" w:leader="dot"/>
        </w:tabs>
        <w:spacing w:after="160"/>
      </w:pPr>
      <w:r>
        <w:rPr>
          <w:b/>
          <w:bCs/>
          <w:color w:val="26408A"/>
          <w:sz w:val="21"/>
          <w:szCs w:val="21"/>
        </w:rPr>
        <w:t xml:space="preserve">6.  </w:t>
      </w:r>
      <w:r>
        <w:rPr>
          <w:color w:val="1A1D29"/>
          <w:sz w:val="21"/>
          <w:szCs w:val="21"/>
        </w:rPr>
        <w:t xml:space="preserve">Data Model</w:t>
      </w:r>
    </w:p>
    <w:p>
      <w:pPr>
        <w:tabs>
          <w:tab w:val="right" w:pos="9026" w:leader="dot"/>
        </w:tabs>
        <w:spacing w:after="160"/>
      </w:pPr>
      <w:r>
        <w:rPr>
          <w:b/>
          <w:bCs/>
          <w:color w:val="26408A"/>
          <w:sz w:val="21"/>
          <w:szCs w:val="21"/>
        </w:rPr>
        <w:t xml:space="preserve">7.  </w:t>
      </w:r>
      <w:r>
        <w:rPr>
          <w:color w:val="1A1D29"/>
          <w:sz w:val="21"/>
          <w:szCs w:val="21"/>
        </w:rPr>
        <w:t xml:space="preserve">Technical Architecture</w:t>
      </w:r>
    </w:p>
    <w:p>
      <w:r>
        <w:br w:type="page"/>
      </w:r>
    </w:p>
    <w:p>
      <w:pPr>
        <w:pStyle w:val="Heading1"/>
        <w:spacing w:after="140" w:before="0"/>
        <w:outlineLvl w:val="0"/>
      </w:pPr>
      <w:r>
        <w:rPr>
          <w:b/>
          <w:bCs/>
        </w:rPr>
        <w:t xml:space="preserve">1. Overview</w:t>
      </w:r>
    </w:p>
    <w:p>
      <w:pPr>
        <w:spacing w:after="200" w:before="0"/>
      </w:pPr>
      <w:r>
        <w:rPr>
          <w:i/>
          <w:iCs/>
          <w:color w:val="6B7280"/>
          <w:sz w:val="19"/>
          <w:szCs w:val="19"/>
        </w:rPr>
        <w:t xml:space="preserve">Purpose, scope, and the problem this product solves.</w:t>
      </w:r>
    </w:p>
    <w:p>
      <w:pPr>
        <w:pStyle w:val="Heading2"/>
        <w:spacing w:after="140" w:before="320"/>
        <w:outlineLvl w:val="1"/>
      </w:pPr>
      <w:r>
        <w:rPr>
          <w:b/>
          <w:bCs/>
        </w:rPr>
        <w:t xml:space="preserve">1.1 Objective</w:t>
      </w:r>
    </w:p>
    <w:p>
      <w:pPr>
        <w:spacing w:after="160" w:line="276"/>
      </w:pPr>
      <w:r>
        <w:rPr>
          <w:i w:val="false"/>
          <w:iCs w:val="false"/>
          <w:color w:val="1A1D29"/>
          <w:sz w:val="21"/>
          <w:szCs w:val="21"/>
        </w:rPr>
        <w:t xml:space="preserve">Build a Telegram bot and companion admin dashboard that increases community member acquisition and engagement through a referral program, gamification mechanics, task-based incentives, and analytics reporting.</w:t>
      </w:r>
    </w:p>
    <w:p>
      <w:pPr>
        <w:pStyle w:val="Heading2"/>
        <w:spacing w:after="140" w:before="320"/>
        <w:outlineLvl w:val="1"/>
      </w:pPr>
      <w:r>
        <w:rPr>
          <w:b/>
          <w:bCs/>
        </w:rPr>
        <w:t xml:space="preserve">1.2 Background &amp; Problem Statement</w:t>
      </w:r>
    </w:p>
    <w:p>
      <w:pPr>
        <w:spacing w:after="160" w:line="276"/>
      </w:pPr>
      <w:r>
        <w:rPr>
          <w:i w:val="false"/>
          <w:iCs w:val="false"/>
          <w:color w:val="1A1D29"/>
          <w:sz w:val="21"/>
          <w:szCs w:val="21"/>
        </w:rPr>
        <w:t xml:space="preserve">Community growth on Telegram is typically manual, unverifiable, and difficult to reward fairly. Admins lack visibility into who is actually driving growth, invite links are easy to abuse, and there is no structured mechanism to keep new members active after they join. This product addresses that gap with a verifiable referral engine, an engagement loop (XP, check-ins, tasks, leaderboard), and an admin dashboard for oversight and reward governance.</w:t>
      </w:r>
    </w:p>
    <w:p>
      <w:pPr>
        <w:pStyle w:val="Heading2"/>
        <w:spacing w:after="140" w:before="320"/>
        <w:outlineLvl w:val="1"/>
      </w:pPr>
      <w:r>
        <w:rPr>
          <w:b/>
          <w:bCs/>
        </w:rPr>
        <w:t xml:space="preserve">1.3 Core Goals</w:t>
      </w:r>
    </w:p>
    <w:p>
      <w:pPr>
        <w:pStyle w:val="ListParagraph"/>
        <w:numPr>
          <w:ilvl w:val="0"/>
          <w:numId w:val="2"/>
        </w:numPr>
        <w:spacing w:after="70" w:line="268"/>
      </w:pPr>
      <w:r>
        <w:rPr>
          <w:sz w:val="21"/>
          <w:szCs w:val="21"/>
        </w:rPr>
        <w:t xml:space="preserve"/>
      </w:r>
      <w:r>
        <w:rPr>
          <w:color w:val="1A1D29"/>
          <w:sz w:val="21"/>
          <w:szCs w:val="21"/>
        </w:rPr>
        <w:t xml:space="preserve">Referral system with unique, trackable referral links per user</w:t>
      </w:r>
    </w:p>
    <w:p>
      <w:pPr>
        <w:pStyle w:val="ListParagraph"/>
        <w:numPr>
          <w:ilvl w:val="0"/>
          <w:numId w:val="2"/>
        </w:numPr>
        <w:spacing w:after="70" w:line="268"/>
      </w:pPr>
      <w:r>
        <w:rPr>
          <w:sz w:val="21"/>
          <w:szCs w:val="21"/>
        </w:rPr>
        <w:t xml:space="preserve"/>
      </w:r>
      <w:r>
        <w:rPr>
          <w:color w:val="1A1D29"/>
          <w:sz w:val="21"/>
          <w:szCs w:val="21"/>
        </w:rPr>
        <w:t xml:space="preserve">Track and validate invites against anti-abuse rules before they count</w:t>
      </w:r>
    </w:p>
    <w:p>
      <w:pPr>
        <w:pStyle w:val="ListParagraph"/>
        <w:numPr>
          <w:ilvl w:val="0"/>
          <w:numId w:val="2"/>
        </w:numPr>
        <w:spacing w:after="70" w:line="268"/>
      </w:pPr>
      <w:r>
        <w:rPr>
          <w:sz w:val="21"/>
          <w:szCs w:val="21"/>
        </w:rPr>
        <w:t xml:space="preserve"/>
      </w:r>
      <w:r>
        <w:rPr>
          <w:color w:val="1A1D29"/>
          <w:sz w:val="21"/>
          <w:szCs w:val="21"/>
        </w:rPr>
        <w:t xml:space="preserve">Increase Daily Active Users (DAU) and Weekly Active Users (WAU)</w:t>
      </w:r>
    </w:p>
    <w:p>
      <w:pPr>
        <w:pStyle w:val="ListParagraph"/>
        <w:numPr>
          <w:ilvl w:val="0"/>
          <w:numId w:val="2"/>
        </w:numPr>
        <w:spacing w:after="70" w:line="268"/>
      </w:pPr>
      <w:r>
        <w:rPr>
          <w:sz w:val="21"/>
          <w:szCs w:val="21"/>
        </w:rPr>
        <w:t xml:space="preserve"/>
      </w:r>
      <w:r>
        <w:rPr>
          <w:color w:val="1A1D29"/>
          <w:sz w:val="21"/>
          <w:szCs w:val="21"/>
        </w:rPr>
        <w:t xml:space="preserve">Sustain engagement through leaderboard rankings and an XP/leveling system</w:t>
      </w:r>
    </w:p>
    <w:p>
      <w:pPr>
        <w:pStyle w:val="ListParagraph"/>
        <w:numPr>
          <w:ilvl w:val="0"/>
          <w:numId w:val="2"/>
        </w:numPr>
        <w:spacing w:after="70" w:line="268"/>
      </w:pPr>
      <w:r>
        <w:rPr>
          <w:sz w:val="21"/>
          <w:szCs w:val="21"/>
        </w:rPr>
        <w:t xml:space="preserve"/>
      </w:r>
      <w:r>
        <w:rPr>
          <w:color w:val="1A1D29"/>
          <w:sz w:val="21"/>
          <w:szCs w:val="21"/>
        </w:rPr>
        <w:t xml:space="preserve">Give admins real-time analytics and control over rewards, tasks, and broadcasts</w:t>
      </w:r>
    </w:p>
    <w:p>
      <w:pPr>
        <w:pStyle w:val="Heading2"/>
        <w:spacing w:after="140" w:before="320"/>
        <w:outlineLvl w:val="1"/>
      </w:pPr>
      <w:r>
        <w:rPr>
          <w:b/>
          <w:bCs/>
        </w:rPr>
        <w:t xml:space="preserve">1.4 Success Metrics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9"/>
        <w:gridCol w:w="135"/>
        <w:gridCol w:w="99"/>
      </w:tblGrid>
      <w:tr>
        <w:trPr>
          <w:tblHeader/>
        </w:trPr>
        <w:tc>
          <w:tcPr>
            <w:tcW w:type="pct" w:w="1.1%"/>
            <w:tcBorders>
              <w:top w:val="single" w:color="D8DCE8" w:sz="2"/>
              <w:left w:val="single" w:color="D8DCE8" w:sz="2"/>
              <w:bottom w:val="single" w:color="D8DCE8" w:sz="2"/>
              <w:right w:val="single" w:color="D8DCE8" w:sz="2"/>
            </w:tcBorders>
            <w:shd w:fill="26408A" w:val="clear"/>
            <w:tcMar>
              <w:top w:type="dxa" w:w="100"/>
              <w:left w:type="dxa" w:w="140"/>
              <w:bottom w:type="dxa" w:w="100"/>
              <w:right w:type="dxa" w:w="140"/>
            </w:tcMar>
            <w:vAlign w:val="center"/>
          </w:tcPr>
          <w:p>
            <w:r>
              <w:rPr>
                <w:b/>
                <w:bCs/>
                <w:color w:val="FFFFFF"/>
                <w:sz w:val="19"/>
                <w:szCs w:val="19"/>
              </w:rPr>
              <w:t xml:space="preserve">Metric</w:t>
            </w:r>
          </w:p>
        </w:tc>
        <w:tc>
          <w:tcPr>
            <w:tcW w:type="pct" w:w="1.5%"/>
            <w:tcBorders>
              <w:top w:val="single" w:color="D8DCE8" w:sz="2"/>
              <w:left w:val="single" w:color="D8DCE8" w:sz="2"/>
              <w:bottom w:val="single" w:color="D8DCE8" w:sz="2"/>
              <w:right w:val="single" w:color="D8DCE8" w:sz="2"/>
            </w:tcBorders>
            <w:shd w:fill="26408A" w:val="clear"/>
            <w:tcMar>
              <w:top w:type="dxa" w:w="100"/>
              <w:left w:type="dxa" w:w="140"/>
              <w:bottom w:type="dxa" w:w="100"/>
              <w:right w:type="dxa" w:w="140"/>
            </w:tcMar>
            <w:vAlign w:val="center"/>
          </w:tcPr>
          <w:p>
            <w:r>
              <w:rPr>
                <w:b/>
                <w:bCs/>
                <w:color w:val="FFFFFF"/>
                <w:sz w:val="19"/>
                <w:szCs w:val="19"/>
              </w:rPr>
              <w:t xml:space="preserve">Description</w:t>
            </w:r>
          </w:p>
        </w:tc>
        <w:tc>
          <w:tcPr>
            <w:tcW w:type="pct" w:w="1.1%"/>
            <w:tcBorders>
              <w:top w:val="single" w:color="D8DCE8" w:sz="2"/>
              <w:left w:val="single" w:color="D8DCE8" w:sz="2"/>
              <w:bottom w:val="single" w:color="D8DCE8" w:sz="2"/>
              <w:right w:val="single" w:color="D8DCE8" w:sz="2"/>
            </w:tcBorders>
            <w:shd w:fill="26408A" w:val="clear"/>
            <w:tcMar>
              <w:top w:type="dxa" w:w="100"/>
              <w:left w:type="dxa" w:w="140"/>
              <w:bottom w:type="dxa" w:w="100"/>
              <w:right w:type="dxa" w:w="140"/>
            </w:tcMar>
            <w:vAlign w:val="center"/>
          </w:tcPr>
          <w:p>
            <w:r>
              <w:rPr>
                <w:b/>
                <w:bCs/>
                <w:color w:val="FFFFFF"/>
                <w:sz w:val="19"/>
                <w:szCs w:val="19"/>
              </w:rPr>
              <w:t xml:space="preserve">Target Signal</w:t>
            </w:r>
          </w:p>
        </w:tc>
      </w:tr>
      <w:tr>
        <w:tc>
          <w:tcPr>
            <w:tcW w:type="pct" w:w="1.1%"/>
            <w:tcBorders>
              <w:top w:val="single" w:color="D8DCE8" w:sz="2"/>
              <w:left w:val="single" w:color="D8DCE8" w:sz="2"/>
              <w:bottom w:val="single" w:color="D8DCE8" w:sz="2"/>
              <w:right w:val="single" w:color="D8DCE8" w:sz="2"/>
            </w:tcBorders>
            <w:tcMar>
              <w:top w:type="dxa" w:w="100"/>
              <w:left w:type="dxa" w:w="140"/>
              <w:bottom w:type="dxa" w:w="100"/>
              <w:right w:type="dxa" w:w="140"/>
            </w:tcMar>
            <w:vAlign w:val="center"/>
          </w:tcPr>
          <w:p>
            <w:r>
              <w:rPr>
                <w:color w:val="1A1D29"/>
                <w:sz w:val="19"/>
                <w:szCs w:val="19"/>
              </w:rPr>
              <w:t xml:space="preserve">Valid Referral Rate</w:t>
            </w:r>
          </w:p>
        </w:tc>
        <w:tc>
          <w:tcPr>
            <w:tcW w:type="pct" w:w="1.5%"/>
            <w:tcBorders>
              <w:top w:val="single" w:color="D8DCE8" w:sz="2"/>
              <w:left w:val="single" w:color="D8DCE8" w:sz="2"/>
              <w:bottom w:val="single" w:color="D8DCE8" w:sz="2"/>
              <w:right w:val="single" w:color="D8DCE8" w:sz="2"/>
            </w:tcBorders>
            <w:tcMar>
              <w:top w:type="dxa" w:w="100"/>
              <w:left w:type="dxa" w:w="140"/>
              <w:bottom w:type="dxa" w:w="100"/>
              <w:right w:type="dxa" w:w="140"/>
            </w:tcMar>
            <w:vAlign w:val="center"/>
          </w:tcPr>
          <w:p>
            <w:r>
              <w:rPr>
                <w:color w:val="1A1D29"/>
                <w:sz w:val="19"/>
                <w:szCs w:val="19"/>
              </w:rPr>
              <w:t xml:space="preserve">% of referred users who pass validation rules</w:t>
            </w:r>
          </w:p>
        </w:tc>
        <w:tc>
          <w:tcPr>
            <w:tcW w:type="pct" w:w="1.1%"/>
            <w:tcBorders>
              <w:top w:val="single" w:color="D8DCE8" w:sz="2"/>
              <w:left w:val="single" w:color="D8DCE8" w:sz="2"/>
              <w:bottom w:val="single" w:color="D8DCE8" w:sz="2"/>
              <w:right w:val="single" w:color="D8DCE8" w:sz="2"/>
            </w:tcBorders>
            <w:tcMar>
              <w:top w:type="dxa" w:w="100"/>
              <w:left w:type="dxa" w:w="140"/>
              <w:bottom w:type="dxa" w:w="100"/>
              <w:right w:type="dxa" w:w="140"/>
            </w:tcMar>
            <w:vAlign w:val="center"/>
          </w:tcPr>
          <w:p>
            <w:r>
              <w:rPr>
                <w:color w:val="1A1D29"/>
                <w:sz w:val="19"/>
                <w:szCs w:val="19"/>
              </w:rPr>
              <w:t xml:space="preserve">Increasing month-over-month</w:t>
            </w:r>
          </w:p>
        </w:tc>
      </w:tr>
      <w:tr>
        <w:tc>
          <w:tcPr>
            <w:tcW w:type="pct" w:w="1.1%"/>
            <w:tcBorders>
              <w:top w:val="single" w:color="D8DCE8" w:sz="2"/>
              <w:left w:val="single" w:color="D8DCE8" w:sz="2"/>
              <w:bottom w:val="single" w:color="D8DCE8" w:sz="2"/>
              <w:right w:val="single" w:color="D8DCE8" w:sz="2"/>
            </w:tcBorders>
            <w:shd w:fill="F1F3FA" w:val="clear"/>
            <w:tcMar>
              <w:top w:type="dxa" w:w="100"/>
              <w:left w:type="dxa" w:w="140"/>
              <w:bottom w:type="dxa" w:w="100"/>
              <w:right w:type="dxa" w:w="140"/>
            </w:tcMar>
            <w:vAlign w:val="center"/>
          </w:tcPr>
          <w:p>
            <w:r>
              <w:rPr>
                <w:color w:val="1A1D29"/>
                <w:sz w:val="19"/>
                <w:szCs w:val="19"/>
              </w:rPr>
              <w:t xml:space="preserve">DAU / WAU Ratio</w:t>
            </w:r>
          </w:p>
        </w:tc>
        <w:tc>
          <w:tcPr>
            <w:tcW w:type="pct" w:w="1.5%"/>
            <w:tcBorders>
              <w:top w:val="single" w:color="D8DCE8" w:sz="2"/>
              <w:left w:val="single" w:color="D8DCE8" w:sz="2"/>
              <w:bottom w:val="single" w:color="D8DCE8" w:sz="2"/>
              <w:right w:val="single" w:color="D8DCE8" w:sz="2"/>
            </w:tcBorders>
            <w:shd w:fill="F1F3FA" w:val="clear"/>
            <w:tcMar>
              <w:top w:type="dxa" w:w="100"/>
              <w:left w:type="dxa" w:w="140"/>
              <w:bottom w:type="dxa" w:w="100"/>
              <w:right w:type="dxa" w:w="140"/>
            </w:tcMar>
            <w:vAlign w:val="center"/>
          </w:tcPr>
          <w:p>
            <w:r>
              <w:rPr>
                <w:color w:val="1A1D29"/>
                <w:sz w:val="19"/>
                <w:szCs w:val="19"/>
              </w:rPr>
              <w:t xml:space="preserve">Stickiness of the community after growth campaigns</w:t>
            </w:r>
          </w:p>
        </w:tc>
        <w:tc>
          <w:tcPr>
            <w:tcW w:type="pct" w:w="1.1%"/>
            <w:tcBorders>
              <w:top w:val="single" w:color="D8DCE8" w:sz="2"/>
              <w:left w:val="single" w:color="D8DCE8" w:sz="2"/>
              <w:bottom w:val="single" w:color="D8DCE8" w:sz="2"/>
              <w:right w:val="single" w:color="D8DCE8" w:sz="2"/>
            </w:tcBorders>
            <w:shd w:fill="F1F3FA" w:val="clear"/>
            <w:tcMar>
              <w:top w:type="dxa" w:w="100"/>
              <w:left w:type="dxa" w:w="140"/>
              <w:bottom w:type="dxa" w:w="100"/>
              <w:right w:type="dxa" w:w="140"/>
            </w:tcMar>
            <w:vAlign w:val="center"/>
          </w:tcPr>
          <w:p>
            <w:r>
              <w:rPr>
                <w:color w:val="1A1D29"/>
                <w:sz w:val="19"/>
                <w:szCs w:val="19"/>
              </w:rPr>
              <w:t xml:space="preserve">&gt; 20%</w:t>
            </w:r>
          </w:p>
        </w:tc>
      </w:tr>
      <w:tr>
        <w:tc>
          <w:tcPr>
            <w:tcW w:type="pct" w:w="1.1%"/>
            <w:tcBorders>
              <w:top w:val="single" w:color="D8DCE8" w:sz="2"/>
              <w:left w:val="single" w:color="D8DCE8" w:sz="2"/>
              <w:bottom w:val="single" w:color="D8DCE8" w:sz="2"/>
              <w:right w:val="single" w:color="D8DCE8" w:sz="2"/>
            </w:tcBorders>
            <w:tcMar>
              <w:top w:type="dxa" w:w="100"/>
              <w:left w:type="dxa" w:w="140"/>
              <w:bottom w:type="dxa" w:w="100"/>
              <w:right w:type="dxa" w:w="140"/>
            </w:tcMar>
            <w:vAlign w:val="center"/>
          </w:tcPr>
          <w:p>
            <w:r>
              <w:rPr>
                <w:color w:val="1A1D29"/>
                <w:sz w:val="19"/>
                <w:szCs w:val="19"/>
              </w:rPr>
              <w:t xml:space="preserve">7-Day Retention</w:t>
            </w:r>
          </w:p>
        </w:tc>
        <w:tc>
          <w:tcPr>
            <w:tcW w:type="pct" w:w="1.5%"/>
            <w:tcBorders>
              <w:top w:val="single" w:color="D8DCE8" w:sz="2"/>
              <w:left w:val="single" w:color="D8DCE8" w:sz="2"/>
              <w:bottom w:val="single" w:color="D8DCE8" w:sz="2"/>
              <w:right w:val="single" w:color="D8DCE8" w:sz="2"/>
            </w:tcBorders>
            <w:tcMar>
              <w:top w:type="dxa" w:w="100"/>
              <w:left w:type="dxa" w:w="140"/>
              <w:bottom w:type="dxa" w:w="100"/>
              <w:right w:type="dxa" w:w="140"/>
            </w:tcMar>
            <w:vAlign w:val="center"/>
          </w:tcPr>
          <w:p>
            <w:r>
              <w:rPr>
                <w:color w:val="1A1D29"/>
                <w:sz w:val="19"/>
                <w:szCs w:val="19"/>
              </w:rPr>
              <w:t xml:space="preserve">Referred users still active 7 days after joining</w:t>
            </w:r>
          </w:p>
        </w:tc>
        <w:tc>
          <w:tcPr>
            <w:tcW w:type="pct" w:w="1.1%"/>
            <w:tcBorders>
              <w:top w:val="single" w:color="D8DCE8" w:sz="2"/>
              <w:left w:val="single" w:color="D8DCE8" w:sz="2"/>
              <w:bottom w:val="single" w:color="D8DCE8" w:sz="2"/>
              <w:right w:val="single" w:color="D8DCE8" w:sz="2"/>
            </w:tcBorders>
            <w:tcMar>
              <w:top w:type="dxa" w:w="100"/>
              <w:left w:type="dxa" w:w="140"/>
              <w:bottom w:type="dxa" w:w="100"/>
              <w:right w:type="dxa" w:w="140"/>
            </w:tcMar>
            <w:vAlign w:val="center"/>
          </w:tcPr>
          <w:p>
            <w:r>
              <w:rPr>
                <w:color w:val="1A1D29"/>
                <w:sz w:val="19"/>
                <w:szCs w:val="19"/>
              </w:rPr>
              <w:t xml:space="preserve">Tracked per cohort</w:t>
            </w:r>
          </w:p>
        </w:tc>
      </w:tr>
      <w:tr>
        <w:tc>
          <w:tcPr>
            <w:tcW w:type="pct" w:w="1.1%"/>
            <w:tcBorders>
              <w:top w:val="single" w:color="D8DCE8" w:sz="2"/>
              <w:left w:val="single" w:color="D8DCE8" w:sz="2"/>
              <w:bottom w:val="single" w:color="D8DCE8" w:sz="2"/>
              <w:right w:val="single" w:color="D8DCE8" w:sz="2"/>
            </w:tcBorders>
            <w:shd w:fill="F1F3FA" w:val="clear"/>
            <w:tcMar>
              <w:top w:type="dxa" w:w="100"/>
              <w:left w:type="dxa" w:w="140"/>
              <w:bottom w:type="dxa" w:w="100"/>
              <w:right w:type="dxa" w:w="140"/>
            </w:tcMar>
            <w:vAlign w:val="center"/>
          </w:tcPr>
          <w:p>
            <w:r>
              <w:rPr>
                <w:color w:val="1A1D29"/>
                <w:sz w:val="19"/>
                <w:szCs w:val="19"/>
              </w:rPr>
              <w:t xml:space="preserve">Task Completion Rate</w:t>
            </w:r>
          </w:p>
        </w:tc>
        <w:tc>
          <w:tcPr>
            <w:tcW w:type="pct" w:w="1.5%"/>
            <w:tcBorders>
              <w:top w:val="single" w:color="D8DCE8" w:sz="2"/>
              <w:left w:val="single" w:color="D8DCE8" w:sz="2"/>
              <w:bottom w:val="single" w:color="D8DCE8" w:sz="2"/>
              <w:right w:val="single" w:color="D8DCE8" w:sz="2"/>
            </w:tcBorders>
            <w:shd w:fill="F1F3FA" w:val="clear"/>
            <w:tcMar>
              <w:top w:type="dxa" w:w="100"/>
              <w:left w:type="dxa" w:w="140"/>
              <w:bottom w:type="dxa" w:w="100"/>
              <w:right w:type="dxa" w:w="140"/>
            </w:tcMar>
            <w:vAlign w:val="center"/>
          </w:tcPr>
          <w:p>
            <w:r>
              <w:rPr>
                <w:color w:val="1A1D29"/>
                <w:sz w:val="19"/>
                <w:szCs w:val="19"/>
              </w:rPr>
              <w:t xml:space="preserve">% of active users completing at least 1 task/week</w:t>
            </w:r>
          </w:p>
        </w:tc>
        <w:tc>
          <w:tcPr>
            <w:tcW w:type="pct" w:w="1.1%"/>
            <w:tcBorders>
              <w:top w:val="single" w:color="D8DCE8" w:sz="2"/>
              <w:left w:val="single" w:color="D8DCE8" w:sz="2"/>
              <w:bottom w:val="single" w:color="D8DCE8" w:sz="2"/>
              <w:right w:val="single" w:color="D8DCE8" w:sz="2"/>
            </w:tcBorders>
            <w:shd w:fill="F1F3FA" w:val="clear"/>
            <w:tcMar>
              <w:top w:type="dxa" w:w="100"/>
              <w:left w:type="dxa" w:w="140"/>
              <w:bottom w:type="dxa" w:w="100"/>
              <w:right w:type="dxa" w:w="140"/>
            </w:tcMar>
            <w:vAlign w:val="center"/>
          </w:tcPr>
          <w:p>
            <w:r>
              <w:rPr>
                <w:color w:val="1A1D29"/>
                <w:sz w:val="19"/>
                <w:szCs w:val="19"/>
              </w:rPr>
              <w:t xml:space="preserve">Tracked weekly</w:t>
            </w:r>
          </w:p>
        </w:tc>
      </w:tr>
      <w:tr>
        <w:tc>
          <w:tcPr>
            <w:tcW w:type="pct" w:w="1.1%"/>
            <w:tcBorders>
              <w:top w:val="single" w:color="D8DCE8" w:sz="2"/>
              <w:left w:val="single" w:color="D8DCE8" w:sz="2"/>
              <w:bottom w:val="single" w:color="D8DCE8" w:sz="2"/>
              <w:right w:val="single" w:color="D8DCE8" w:sz="2"/>
            </w:tcBorders>
            <w:tcMar>
              <w:top w:type="dxa" w:w="100"/>
              <w:left w:type="dxa" w:w="140"/>
              <w:bottom w:type="dxa" w:w="100"/>
              <w:right w:type="dxa" w:w="140"/>
            </w:tcMar>
            <w:vAlign w:val="center"/>
          </w:tcPr>
          <w:p>
            <w:r>
              <w:rPr>
                <w:color w:val="1A1D29"/>
                <w:sz w:val="19"/>
                <w:szCs w:val="19"/>
              </w:rPr>
              <w:t xml:space="preserve">Top Inviter Concentration</w:t>
            </w:r>
          </w:p>
        </w:tc>
        <w:tc>
          <w:tcPr>
            <w:tcW w:type="pct" w:w="1.5%"/>
            <w:tcBorders>
              <w:top w:val="single" w:color="D8DCE8" w:sz="2"/>
              <w:left w:val="single" w:color="D8DCE8" w:sz="2"/>
              <w:bottom w:val="single" w:color="D8DCE8" w:sz="2"/>
              <w:right w:val="single" w:color="D8DCE8" w:sz="2"/>
            </w:tcBorders>
            <w:tcMar>
              <w:top w:type="dxa" w:w="100"/>
              <w:left w:type="dxa" w:w="140"/>
              <w:bottom w:type="dxa" w:w="100"/>
              <w:right w:type="dxa" w:w="140"/>
            </w:tcMar>
            <w:vAlign w:val="center"/>
          </w:tcPr>
          <w:p>
            <w:r>
              <w:rPr>
                <w:color w:val="1A1D29"/>
                <w:sz w:val="19"/>
                <w:szCs w:val="19"/>
              </w:rPr>
              <w:t xml:space="preserve">Referral share held by top 1% of inviters</w:t>
            </w:r>
          </w:p>
        </w:tc>
        <w:tc>
          <w:tcPr>
            <w:tcW w:type="pct" w:w="1.1%"/>
            <w:tcBorders>
              <w:top w:val="single" w:color="D8DCE8" w:sz="2"/>
              <w:left w:val="single" w:color="D8DCE8" w:sz="2"/>
              <w:bottom w:val="single" w:color="D8DCE8" w:sz="2"/>
              <w:right w:val="single" w:color="D8DCE8" w:sz="2"/>
            </w:tcBorders>
            <w:tcMar>
              <w:top w:type="dxa" w:w="100"/>
              <w:left w:type="dxa" w:w="140"/>
              <w:bottom w:type="dxa" w:w="100"/>
              <w:right w:type="dxa" w:w="140"/>
            </w:tcMar>
            <w:vAlign w:val="center"/>
          </w:tcPr>
          <w:p>
            <w:r>
              <w:rPr>
                <w:color w:val="1A1D29"/>
                <w:sz w:val="19"/>
                <w:szCs w:val="19"/>
              </w:rPr>
              <w:t xml:space="preserve">Monitored for abuse patterns</w:t>
            </w:r>
          </w:p>
        </w:tc>
      </w:tr>
    </w:tbl>
    <w:p>
      <w:pPr>
        <w:pStyle w:val="Heading1"/>
        <w:spacing w:after="140" w:before="320"/>
        <w:outlineLvl w:val="0"/>
      </w:pPr>
      <w:r>
        <w:rPr>
          <w:b/>
          <w:bCs/>
        </w:rPr>
        <w:t xml:space="preserve">2. Scope</w:t>
      </w:r>
    </w:p>
    <w:p>
      <w:pPr>
        <w:pStyle w:val="Heading2"/>
        <w:spacing w:after="140" w:before="320"/>
        <w:outlineLvl w:val="1"/>
      </w:pPr>
      <w:r>
        <w:rPr>
          <w:b/>
          <w:bCs/>
        </w:rPr>
        <w:t xml:space="preserve">2.1 In Scope</w:t>
      </w:r>
    </w:p>
    <w:p>
      <w:pPr>
        <w:pStyle w:val="ListParagraph"/>
        <w:numPr>
          <w:ilvl w:val="0"/>
          <w:numId w:val="2"/>
        </w:numPr>
        <w:spacing w:after="70" w:line="268"/>
      </w:pPr>
      <w:r>
        <w:rPr>
          <w:sz w:val="21"/>
          <w:szCs w:val="21"/>
        </w:rPr>
        <w:t xml:space="preserve"/>
      </w:r>
      <w:r>
        <w:rPr>
          <w:color w:val="1A1D29"/>
          <w:sz w:val="21"/>
          <w:szCs w:val="21"/>
        </w:rPr>
        <w:t xml:space="preserve">Telegram bot: onboarding, referral link generation, check-ins, tasks, XP, leaderboard, reward history</w:t>
      </w:r>
    </w:p>
    <w:p>
      <w:pPr>
        <w:pStyle w:val="ListParagraph"/>
        <w:numPr>
          <w:ilvl w:val="0"/>
          <w:numId w:val="2"/>
        </w:numPr>
        <w:spacing w:after="70" w:line="268"/>
      </w:pPr>
      <w:r>
        <w:rPr>
          <w:sz w:val="21"/>
          <w:szCs w:val="21"/>
        </w:rPr>
        <w:t xml:space="preserve"/>
      </w:r>
      <w:r>
        <w:rPr>
          <w:color w:val="1A1D29"/>
          <w:sz w:val="21"/>
          <w:szCs w:val="21"/>
        </w:rPr>
        <w:t xml:space="preserve">Referral validation engine with configurable anti-abuse rules</w:t>
      </w:r>
    </w:p>
    <w:p>
      <w:pPr>
        <w:pStyle w:val="ListParagraph"/>
        <w:numPr>
          <w:ilvl w:val="0"/>
          <w:numId w:val="2"/>
        </w:numPr>
        <w:spacing w:after="70" w:line="268"/>
      </w:pPr>
      <w:r>
        <w:rPr>
          <w:sz w:val="21"/>
          <w:szCs w:val="21"/>
        </w:rPr>
        <w:t xml:space="preserve"/>
      </w:r>
      <w:r>
        <w:rPr>
          <w:color w:val="1A1D29"/>
          <w:sz w:val="21"/>
          <w:szCs w:val="21"/>
        </w:rPr>
        <w:t xml:space="preserve">Admin web dashboard: user, referral, task, and reward management; analytics; broadcast</w:t>
      </w:r>
    </w:p>
    <w:p>
      <w:pPr>
        <w:pStyle w:val="ListParagraph"/>
        <w:numPr>
          <w:ilvl w:val="0"/>
          <w:numId w:val="2"/>
        </w:numPr>
        <w:spacing w:after="70" w:line="268"/>
      </w:pPr>
      <w:r>
        <w:rPr>
          <w:sz w:val="21"/>
          <w:szCs w:val="21"/>
        </w:rPr>
        <w:t xml:space="preserve"/>
      </w:r>
      <w:r>
        <w:rPr>
          <w:color w:val="1A1D29"/>
          <w:sz w:val="21"/>
          <w:szCs w:val="21"/>
        </w:rPr>
        <w:t xml:space="preserve">Backend REST API and relational data model supporting the above</w:t>
      </w:r>
    </w:p>
    <w:p>
      <w:pPr>
        <w:pStyle w:val="Heading2"/>
        <w:spacing w:after="140" w:before="320"/>
        <w:outlineLvl w:val="1"/>
      </w:pPr>
      <w:r>
        <w:rPr>
          <w:b/>
          <w:bCs/>
        </w:rPr>
        <w:t xml:space="preserve">2.2 Out of Scope (v1)</w:t>
      </w:r>
    </w:p>
    <w:p>
      <w:pPr>
        <w:pStyle w:val="ListParagraph"/>
        <w:numPr>
          <w:ilvl w:val="0"/>
          <w:numId w:val="2"/>
        </w:numPr>
        <w:spacing w:after="70" w:line="268"/>
      </w:pPr>
      <w:r>
        <w:rPr>
          <w:sz w:val="21"/>
          <w:szCs w:val="21"/>
        </w:rPr>
        <w:t xml:space="preserve"/>
      </w:r>
      <w:r>
        <w:rPr>
          <w:color w:val="1A1D29"/>
          <w:sz w:val="21"/>
          <w:szCs w:val="21"/>
        </w:rPr>
        <w:t xml:space="preserve">Multi-bot / multi-community management from a single dashboard instance</w:t>
      </w:r>
    </w:p>
    <w:p>
      <w:pPr>
        <w:pStyle w:val="ListParagraph"/>
        <w:numPr>
          <w:ilvl w:val="0"/>
          <w:numId w:val="2"/>
        </w:numPr>
        <w:spacing w:after="70" w:line="268"/>
      </w:pPr>
      <w:r>
        <w:rPr>
          <w:sz w:val="21"/>
          <w:szCs w:val="21"/>
        </w:rPr>
        <w:t xml:space="preserve"/>
      </w:r>
      <w:r>
        <w:rPr>
          <w:color w:val="1A1D29"/>
          <w:sz w:val="21"/>
          <w:szCs w:val="21"/>
        </w:rPr>
        <w:t xml:space="preserve">Native mobile admin app (dashboard is web-only, responsive)</w:t>
      </w:r>
    </w:p>
    <w:p>
      <w:pPr>
        <w:pStyle w:val="ListParagraph"/>
        <w:numPr>
          <w:ilvl w:val="0"/>
          <w:numId w:val="2"/>
        </w:numPr>
        <w:spacing w:after="70" w:line="268"/>
      </w:pPr>
      <w:r>
        <w:rPr>
          <w:sz w:val="21"/>
          <w:szCs w:val="21"/>
        </w:rPr>
        <w:t xml:space="preserve"/>
      </w:r>
      <w:r>
        <w:rPr>
          <w:color w:val="1A1D29"/>
          <w:sz w:val="21"/>
          <w:szCs w:val="21"/>
        </w:rPr>
        <w:t xml:space="preserve">On-chain or crypto-based reward payouts (rewards are tracked and approved manually in v1)</w:t>
      </w:r>
    </w:p>
    <w:p>
      <w:pPr>
        <w:pStyle w:val="ListParagraph"/>
        <w:numPr>
          <w:ilvl w:val="0"/>
          <w:numId w:val="2"/>
        </w:numPr>
        <w:spacing w:after="70" w:line="268"/>
      </w:pPr>
      <w:r>
        <w:rPr>
          <w:sz w:val="21"/>
          <w:szCs w:val="21"/>
        </w:rPr>
        <w:t xml:space="preserve"/>
      </w:r>
      <w:r>
        <w:rPr>
          <w:color w:val="1A1D29"/>
          <w:sz w:val="21"/>
          <w:szCs w:val="21"/>
        </w:rPr>
        <w:t xml:space="preserve">Multi-language bot copy beyond a single configured default locale</w:t>
      </w:r>
    </w:p>
    <w:p>
      <w:pPr>
        <w:pStyle w:val="Heading1"/>
        <w:spacing w:after="140" w:before="320"/>
        <w:outlineLvl w:val="0"/>
      </w:pPr>
      <w:r>
        <w:rPr>
          <w:b/>
          <w:bCs/>
        </w:rPr>
        <w:t xml:space="preserve">3. User Features (Telegram Bot)</w:t>
      </w:r>
    </w:p>
    <w:p>
      <w:pPr>
        <w:spacing w:after="200" w:before="0"/>
      </w:pPr>
      <w:r>
        <w:rPr>
          <w:i/>
          <w:iCs/>
          <w:color w:val="6B7280"/>
          <w:sz w:val="19"/>
          <w:szCs w:val="19"/>
        </w:rPr>
        <w:t xml:space="preserve">All functionality available to end users interacting with the bot.</w:t>
      </w:r>
    </w:p>
    <w:p>
      <w:pPr>
        <w:pStyle w:val="Heading2"/>
        <w:spacing w:after="140" w:before="320"/>
        <w:outlineLvl w:val="1"/>
      </w:pPr>
      <w:r>
        <w:rPr>
          <w:b/>
          <w:bCs/>
        </w:rPr>
        <w:t xml:space="preserve">3.1 Onboarding</w:t>
      </w:r>
    </w:p>
    <w:p>
      <w:pPr>
        <w:pStyle w:val="ListParagraph"/>
        <w:numPr>
          <w:ilvl w:val="0"/>
          <w:numId w:val="2"/>
        </w:numPr>
        <w:spacing w:after="70" w:line="268"/>
      </w:pPr>
      <w:r>
        <w:rPr>
          <w:sz w:val="21"/>
          <w:szCs w:val="21"/>
        </w:rPr>
        <w:t xml:space="preserve"/>
      </w:r>
      <w:r>
        <w:rPr>
          <w:b/>
          <w:bCs/>
          <w:color w:val="1A1D29"/>
          <w:sz w:val="21"/>
          <w:szCs w:val="21"/>
        </w:rPr>
        <w:t xml:space="preserve">Entry command</w:t>
      </w:r>
      <w:r>
        <w:rPr>
          <w:color w:val="1A1D29"/>
          <w:sz w:val="21"/>
          <w:szCs w:val="21"/>
        </w:rPr>
        <w:t xml:space="preserve"> — /start</w:t>
      </w:r>
    </w:p>
    <w:p>
      <w:pPr>
        <w:pStyle w:val="ListParagraph"/>
        <w:numPr>
          <w:ilvl w:val="0"/>
          <w:numId w:val="2"/>
        </w:numPr>
        <w:spacing w:after="70" w:line="268"/>
      </w:pPr>
      <w:r>
        <w:rPr>
          <w:sz w:val="21"/>
          <w:szCs w:val="21"/>
        </w:rPr>
        <w:t xml:space="preserve"/>
      </w:r>
      <w:r>
        <w:rPr>
          <w:b/>
          <w:bCs/>
          <w:color w:val="1A1D29"/>
          <w:sz w:val="21"/>
          <w:szCs w:val="21"/>
        </w:rPr>
        <w:t xml:space="preserve">Auto-generated referral code</w:t>
      </w:r>
      <w:r>
        <w:rPr>
          <w:color w:val="1A1D29"/>
          <w:sz w:val="21"/>
          <w:szCs w:val="21"/>
        </w:rPr>
        <w:t xml:space="preserve"> — Every new user is automatically issued a unique referral code / deep link on first interaction</w:t>
      </w:r>
    </w:p>
    <w:p>
      <w:pPr>
        <w:pStyle w:val="ListParagraph"/>
        <w:numPr>
          <w:ilvl w:val="0"/>
          <w:numId w:val="2"/>
        </w:numPr>
        <w:spacing w:after="70" w:line="268"/>
      </w:pPr>
      <w:r>
        <w:rPr>
          <w:sz w:val="21"/>
          <w:szCs w:val="21"/>
        </w:rPr>
        <w:t xml:space="preserve"/>
      </w:r>
      <w:r>
        <w:rPr>
          <w:b/>
          <w:bCs/>
          <w:color w:val="1A1D29"/>
          <w:sz w:val="21"/>
          <w:szCs w:val="21"/>
        </w:rPr>
        <w:t xml:space="preserve">Referral dashboard</w:t>
      </w:r>
      <w:r>
        <w:rPr>
          <w:color w:val="1A1D29"/>
          <w:sz w:val="21"/>
          <w:szCs w:val="21"/>
        </w:rPr>
        <w:t xml:space="preserve"> — A personal view showing referral link, invite count, valid vs. pending invites, and rewards earned</w:t>
      </w:r>
    </w:p>
    <w:p>
      <w:pPr>
        <w:pStyle w:val="Heading2"/>
        <w:spacing w:after="140" w:before="320"/>
        <w:outlineLvl w:val="1"/>
      </w:pPr>
      <w:r>
        <w:rPr>
          <w:b/>
          <w:bCs/>
        </w:rPr>
        <w:t xml:space="preserve">3.2 Engagement Loop</w:t>
      </w:r>
    </w:p>
    <w:p>
      <w:pPr>
        <w:pStyle w:val="ListParagraph"/>
        <w:numPr>
          <w:ilvl w:val="0"/>
          <w:numId w:val="2"/>
        </w:numPr>
        <w:spacing w:after="70" w:line="268"/>
      </w:pPr>
      <w:r>
        <w:rPr>
          <w:sz w:val="21"/>
          <w:szCs w:val="21"/>
        </w:rPr>
        <w:t xml:space="preserve"/>
      </w:r>
      <w:r>
        <w:rPr>
          <w:b/>
          <w:bCs/>
          <w:color w:val="1A1D29"/>
          <w:sz w:val="21"/>
          <w:szCs w:val="21"/>
        </w:rPr>
        <w:t xml:space="preserve">Daily check-in</w:t>
      </w:r>
      <w:r>
        <w:rPr>
          <w:color w:val="1A1D29"/>
          <w:sz w:val="21"/>
          <w:szCs w:val="21"/>
        </w:rPr>
        <w:t xml:space="preserve"> — Users check in once per day to earn XP; streaks may boost rewards</w:t>
      </w:r>
    </w:p>
    <w:p>
      <w:pPr>
        <w:pStyle w:val="ListParagraph"/>
        <w:numPr>
          <w:ilvl w:val="0"/>
          <w:numId w:val="2"/>
        </w:numPr>
        <w:spacing w:after="70" w:line="268"/>
      </w:pPr>
      <w:r>
        <w:rPr>
          <w:sz w:val="21"/>
          <w:szCs w:val="21"/>
        </w:rPr>
        <w:t xml:space="preserve"/>
      </w:r>
      <w:r>
        <w:rPr>
          <w:b/>
          <w:bCs/>
          <w:color w:val="1A1D29"/>
          <w:sz w:val="21"/>
          <w:szCs w:val="21"/>
        </w:rPr>
        <w:t xml:space="preserve">Tasks</w:t>
      </w:r>
      <w:r>
        <w:rPr>
          <w:color w:val="1A1D29"/>
          <w:sz w:val="21"/>
          <w:szCs w:val="21"/>
        </w:rPr>
        <w:t xml:space="preserve"> — Admin-defined actions (e.g. share a post, invite N friends, join a partner channel) that grant XP or rewards on completion</w:t>
      </w:r>
    </w:p>
    <w:p>
      <w:pPr>
        <w:pStyle w:val="ListParagraph"/>
        <w:numPr>
          <w:ilvl w:val="0"/>
          <w:numId w:val="2"/>
        </w:numPr>
        <w:spacing w:after="70" w:line="268"/>
      </w:pPr>
      <w:r>
        <w:rPr>
          <w:sz w:val="21"/>
          <w:szCs w:val="21"/>
        </w:rPr>
        <w:t xml:space="preserve"/>
      </w:r>
      <w:r>
        <w:rPr>
          <w:b/>
          <w:bCs/>
          <w:color w:val="1A1D29"/>
          <w:sz w:val="21"/>
          <w:szCs w:val="21"/>
        </w:rPr>
        <w:t xml:space="preserve">XP &amp; Level</w:t>
      </w:r>
      <w:r>
        <w:rPr>
          <w:color w:val="1A1D29"/>
          <w:sz w:val="21"/>
          <w:szCs w:val="21"/>
        </w:rPr>
        <w:t xml:space="preserve"> — Every qualifying action (check-in, task, valid referral) grants XP; accumulated XP maps to a level</w:t>
      </w:r>
    </w:p>
    <w:p>
      <w:pPr>
        <w:pStyle w:val="ListParagraph"/>
        <w:numPr>
          <w:ilvl w:val="0"/>
          <w:numId w:val="2"/>
        </w:numPr>
        <w:spacing w:after="70" w:line="268"/>
      </w:pPr>
      <w:r>
        <w:rPr>
          <w:sz w:val="21"/>
          <w:szCs w:val="21"/>
        </w:rPr>
        <w:t xml:space="preserve"/>
      </w:r>
      <w:r>
        <w:rPr>
          <w:b/>
          <w:bCs/>
          <w:color w:val="1A1D29"/>
          <w:sz w:val="21"/>
          <w:szCs w:val="21"/>
        </w:rPr>
        <w:t xml:space="preserve">Leaderboard</w:t>
      </w:r>
      <w:r>
        <w:rPr>
          <w:color w:val="1A1D29"/>
          <w:sz w:val="21"/>
          <w:szCs w:val="21"/>
        </w:rPr>
        <w:t xml:space="preserve"> — Ranked view of top users by XP and by referral count, with time-window filters (daily / weekly / all-time)</w:t>
      </w:r>
    </w:p>
    <w:p>
      <w:pPr>
        <w:pStyle w:val="ListParagraph"/>
        <w:numPr>
          <w:ilvl w:val="0"/>
          <w:numId w:val="2"/>
        </w:numPr>
        <w:spacing w:after="70" w:line="268"/>
      </w:pPr>
      <w:r>
        <w:rPr>
          <w:sz w:val="21"/>
          <w:szCs w:val="21"/>
        </w:rPr>
        <w:t xml:space="preserve"/>
      </w:r>
      <w:r>
        <w:rPr>
          <w:b/>
          <w:bCs/>
          <w:color w:val="1A1D29"/>
          <w:sz w:val="21"/>
          <w:szCs w:val="21"/>
        </w:rPr>
        <w:t xml:space="preserve">Reward history</w:t>
      </w:r>
      <w:r>
        <w:rPr>
          <w:color w:val="1A1D29"/>
          <w:sz w:val="21"/>
          <w:szCs w:val="21"/>
        </w:rPr>
        <w:t xml:space="preserve"> — A log of rewards earned, their status (pending, approved, paid), and the action that triggered each one</w:t>
      </w:r>
    </w:p>
    <w:p>
      <w:pPr>
        <w:pStyle w:val="Heading1"/>
        <w:spacing w:after="140" w:before="320"/>
        <w:outlineLvl w:val="0"/>
      </w:pPr>
      <w:r>
        <w:rPr>
          <w:b/>
          <w:bCs/>
        </w:rPr>
        <w:t xml:space="preserve">4. Referral Validation Rules</w:t>
      </w:r>
    </w:p>
    <w:p>
      <w:pPr>
        <w:spacing w:after="200" w:before="0"/>
      </w:pPr>
      <w:r>
        <w:rPr>
          <w:i/>
          <w:iCs/>
          <w:color w:val="6B7280"/>
          <w:sz w:val="19"/>
          <w:szCs w:val="19"/>
        </w:rPr>
        <w:t xml:space="preserve">A referral is only counted as valid once every rule below is satisfied. Thresholds are configurable by admins via the dashboard.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
        <w:gridCol w:w="198"/>
      </w:tblGrid>
      <w:tr>
        <w:trPr>
          <w:tblHeader/>
        </w:trPr>
        <w:tc>
          <w:tcPr>
            <w:tcW w:type="pct" w:w="1%"/>
            <w:tcBorders>
              <w:top w:val="single" w:color="D8DCE8" w:sz="2"/>
              <w:left w:val="single" w:color="D8DCE8" w:sz="2"/>
              <w:bottom w:val="single" w:color="D8DCE8" w:sz="2"/>
              <w:right w:val="single" w:color="D8DCE8" w:sz="2"/>
            </w:tcBorders>
            <w:shd w:fill="26408A" w:val="clear"/>
            <w:tcMar>
              <w:top w:type="dxa" w:w="100"/>
              <w:left w:type="dxa" w:w="140"/>
              <w:bottom w:type="dxa" w:w="100"/>
              <w:right w:type="dxa" w:w="140"/>
            </w:tcMar>
            <w:vAlign w:val="center"/>
          </w:tcPr>
          <w:p>
            <w:r>
              <w:rPr>
                <w:b/>
                <w:bCs/>
                <w:color w:val="FFFFFF"/>
                <w:sz w:val="19"/>
                <w:szCs w:val="19"/>
              </w:rPr>
              <w:t xml:space="preserve">Rule</w:t>
            </w:r>
          </w:p>
        </w:tc>
        <w:tc>
          <w:tcPr>
            <w:tcW w:type="pct" w:w="2.2%"/>
            <w:tcBorders>
              <w:top w:val="single" w:color="D8DCE8" w:sz="2"/>
              <w:left w:val="single" w:color="D8DCE8" w:sz="2"/>
              <w:bottom w:val="single" w:color="D8DCE8" w:sz="2"/>
              <w:right w:val="single" w:color="D8DCE8" w:sz="2"/>
            </w:tcBorders>
            <w:shd w:fill="26408A" w:val="clear"/>
            <w:tcMar>
              <w:top w:type="dxa" w:w="100"/>
              <w:left w:type="dxa" w:w="140"/>
              <w:bottom w:type="dxa" w:w="100"/>
              <w:right w:type="dxa" w:w="140"/>
            </w:tcMar>
            <w:vAlign w:val="center"/>
          </w:tcPr>
          <w:p>
            <w:r>
              <w:rPr>
                <w:b/>
                <w:bCs/>
                <w:color w:val="FFFFFF"/>
                <w:sz w:val="19"/>
                <w:szCs w:val="19"/>
              </w:rPr>
              <w:t xml:space="preserve">Description</w:t>
            </w:r>
          </w:p>
        </w:tc>
      </w:tr>
      <w:tr>
        <w:tc>
          <w:tcPr>
            <w:tcW w:type="pct" w:w="1%"/>
            <w:tcBorders>
              <w:top w:val="single" w:color="D8DCE8" w:sz="2"/>
              <w:left w:val="single" w:color="D8DCE8" w:sz="2"/>
              <w:bottom w:val="single" w:color="D8DCE8" w:sz="2"/>
              <w:right w:val="single" w:color="D8DCE8" w:sz="2"/>
            </w:tcBorders>
            <w:tcMar>
              <w:top w:type="dxa" w:w="100"/>
              <w:left w:type="dxa" w:w="140"/>
              <w:bottom w:type="dxa" w:w="100"/>
              <w:right w:type="dxa" w:w="140"/>
            </w:tcMar>
            <w:vAlign w:val="center"/>
          </w:tcPr>
          <w:p>
            <w:r>
              <w:rPr>
                <w:color w:val="1A1D29"/>
                <w:sz w:val="19"/>
                <w:szCs w:val="19"/>
              </w:rPr>
              <w:t xml:space="preserve">Group / channel membership</w:t>
            </w:r>
          </w:p>
        </w:tc>
        <w:tc>
          <w:tcPr>
            <w:tcW w:type="pct" w:w="2.2%"/>
            <w:tcBorders>
              <w:top w:val="single" w:color="D8DCE8" w:sz="2"/>
              <w:left w:val="single" w:color="D8DCE8" w:sz="2"/>
              <w:bottom w:val="single" w:color="D8DCE8" w:sz="2"/>
              <w:right w:val="single" w:color="D8DCE8" w:sz="2"/>
            </w:tcBorders>
            <w:tcMar>
              <w:top w:type="dxa" w:w="100"/>
              <w:left w:type="dxa" w:w="140"/>
              <w:bottom w:type="dxa" w:w="100"/>
              <w:right w:type="dxa" w:w="140"/>
            </w:tcMar>
            <w:vAlign w:val="center"/>
          </w:tcPr>
          <w:p>
            <w:r>
              <w:rPr>
                <w:color w:val="1A1D29"/>
                <w:sz w:val="19"/>
                <w:szCs w:val="19"/>
              </w:rPr>
              <w:t xml:space="preserve">The invited user must join the required Telegram group or channel to be eligible.</w:t>
            </w:r>
          </w:p>
        </w:tc>
      </w:tr>
      <w:tr>
        <w:tc>
          <w:tcPr>
            <w:tcW w:type="pct" w:w="1%"/>
            <w:tcBorders>
              <w:top w:val="single" w:color="D8DCE8" w:sz="2"/>
              <w:left w:val="single" w:color="D8DCE8" w:sz="2"/>
              <w:bottom w:val="single" w:color="D8DCE8" w:sz="2"/>
              <w:right w:val="single" w:color="D8DCE8" w:sz="2"/>
            </w:tcBorders>
            <w:shd w:fill="F1F3FA" w:val="clear"/>
            <w:tcMar>
              <w:top w:type="dxa" w:w="100"/>
              <w:left w:type="dxa" w:w="140"/>
              <w:bottom w:type="dxa" w:w="100"/>
              <w:right w:type="dxa" w:w="140"/>
            </w:tcMar>
            <w:vAlign w:val="center"/>
          </w:tcPr>
          <w:p>
            <w:r>
              <w:rPr>
                <w:color w:val="1A1D29"/>
                <w:sz w:val="19"/>
                <w:szCs w:val="19"/>
              </w:rPr>
              <w:t xml:space="preserve">No self-referral</w:t>
            </w:r>
          </w:p>
        </w:tc>
        <w:tc>
          <w:tcPr>
            <w:tcW w:type="pct" w:w="2.2%"/>
            <w:tcBorders>
              <w:top w:val="single" w:color="D8DCE8" w:sz="2"/>
              <w:left w:val="single" w:color="D8DCE8" w:sz="2"/>
              <w:bottom w:val="single" w:color="D8DCE8" w:sz="2"/>
              <w:right w:val="single" w:color="D8DCE8" w:sz="2"/>
            </w:tcBorders>
            <w:shd w:fill="F1F3FA" w:val="clear"/>
            <w:tcMar>
              <w:top w:type="dxa" w:w="100"/>
              <w:left w:type="dxa" w:w="140"/>
              <w:bottom w:type="dxa" w:w="100"/>
              <w:right w:type="dxa" w:w="140"/>
            </w:tcMar>
            <w:vAlign w:val="center"/>
          </w:tcPr>
          <w:p>
            <w:r>
              <w:rPr>
                <w:color w:val="1A1D29"/>
                <w:sz w:val="19"/>
                <w:szCs w:val="19"/>
              </w:rPr>
              <w:t xml:space="preserve">A user cannot use their own referral link/code to register themselves.</w:t>
            </w:r>
          </w:p>
        </w:tc>
      </w:tr>
      <w:tr>
        <w:tc>
          <w:tcPr>
            <w:tcW w:type="pct" w:w="1%"/>
            <w:tcBorders>
              <w:top w:val="single" w:color="D8DCE8" w:sz="2"/>
              <w:left w:val="single" w:color="D8DCE8" w:sz="2"/>
              <w:bottom w:val="single" w:color="D8DCE8" w:sz="2"/>
              <w:right w:val="single" w:color="D8DCE8" w:sz="2"/>
            </w:tcBorders>
            <w:tcMar>
              <w:top w:type="dxa" w:w="100"/>
              <w:left w:type="dxa" w:w="140"/>
              <w:bottom w:type="dxa" w:w="100"/>
              <w:right w:type="dxa" w:w="140"/>
            </w:tcMar>
            <w:vAlign w:val="center"/>
          </w:tcPr>
          <w:p>
            <w:r>
              <w:rPr>
                <w:color w:val="1A1D29"/>
                <w:sz w:val="19"/>
                <w:szCs w:val="19"/>
              </w:rPr>
              <w:t xml:space="preserve">Single inviter attribution</w:t>
            </w:r>
          </w:p>
        </w:tc>
        <w:tc>
          <w:tcPr>
            <w:tcW w:type="pct" w:w="2.2%"/>
            <w:tcBorders>
              <w:top w:val="single" w:color="D8DCE8" w:sz="2"/>
              <w:left w:val="single" w:color="D8DCE8" w:sz="2"/>
              <w:bottom w:val="single" w:color="D8DCE8" w:sz="2"/>
              <w:right w:val="single" w:color="D8DCE8" w:sz="2"/>
            </w:tcBorders>
            <w:tcMar>
              <w:top w:type="dxa" w:w="100"/>
              <w:left w:type="dxa" w:w="140"/>
              <w:bottom w:type="dxa" w:w="100"/>
              <w:right w:type="dxa" w:w="140"/>
            </w:tcMar>
            <w:vAlign w:val="center"/>
          </w:tcPr>
          <w:p>
            <w:r>
              <w:rPr>
                <w:color w:val="1A1D29"/>
                <w:sz w:val="19"/>
                <w:szCs w:val="19"/>
              </w:rPr>
              <w:t xml:space="preserve">Each invited user can be credited to exactly one inviter — first valid attribution wins.</w:t>
            </w:r>
          </w:p>
        </w:tc>
      </w:tr>
      <w:tr>
        <w:tc>
          <w:tcPr>
            <w:tcW w:type="pct" w:w="1%"/>
            <w:tcBorders>
              <w:top w:val="single" w:color="D8DCE8" w:sz="2"/>
              <w:left w:val="single" w:color="D8DCE8" w:sz="2"/>
              <w:bottom w:val="single" w:color="D8DCE8" w:sz="2"/>
              <w:right w:val="single" w:color="D8DCE8" w:sz="2"/>
            </w:tcBorders>
            <w:shd w:fill="F1F3FA" w:val="clear"/>
            <w:tcMar>
              <w:top w:type="dxa" w:w="100"/>
              <w:left w:type="dxa" w:w="140"/>
              <w:bottom w:type="dxa" w:w="100"/>
              <w:right w:type="dxa" w:w="140"/>
            </w:tcMar>
            <w:vAlign w:val="center"/>
          </w:tcPr>
          <w:p>
            <w:r>
              <w:rPr>
                <w:color w:val="1A1D29"/>
                <w:sz w:val="19"/>
                <w:szCs w:val="19"/>
              </w:rPr>
              <w:t xml:space="preserve">Minimum stay duration</w:t>
            </w:r>
          </w:p>
        </w:tc>
        <w:tc>
          <w:tcPr>
            <w:tcW w:type="pct" w:w="2.2%"/>
            <w:tcBorders>
              <w:top w:val="single" w:color="D8DCE8" w:sz="2"/>
              <w:left w:val="single" w:color="D8DCE8" w:sz="2"/>
              <w:bottom w:val="single" w:color="D8DCE8" w:sz="2"/>
              <w:right w:val="single" w:color="D8DCE8" w:sz="2"/>
            </w:tcBorders>
            <w:shd w:fill="F1F3FA" w:val="clear"/>
            <w:tcMar>
              <w:top w:type="dxa" w:w="100"/>
              <w:left w:type="dxa" w:w="140"/>
              <w:bottom w:type="dxa" w:w="100"/>
              <w:right w:type="dxa" w:w="140"/>
            </w:tcMar>
            <w:vAlign w:val="center"/>
          </w:tcPr>
          <w:p>
            <w:r>
              <w:rPr>
                <w:color w:val="1A1D29"/>
                <w:sz w:val="19"/>
                <w:szCs w:val="19"/>
              </w:rPr>
              <w:t xml:space="preserve">The invited user must remain a member for a configurable minimum period before the referral is finalized.</w:t>
            </w:r>
          </w:p>
        </w:tc>
      </w:tr>
      <w:tr>
        <w:tc>
          <w:tcPr>
            <w:tcW w:type="pct" w:w="1%"/>
            <w:tcBorders>
              <w:top w:val="single" w:color="D8DCE8" w:sz="2"/>
              <w:left w:val="single" w:color="D8DCE8" w:sz="2"/>
              <w:bottom w:val="single" w:color="D8DCE8" w:sz="2"/>
              <w:right w:val="single" w:color="D8DCE8" w:sz="2"/>
            </w:tcBorders>
            <w:tcMar>
              <w:top w:type="dxa" w:w="100"/>
              <w:left w:type="dxa" w:w="140"/>
              <w:bottom w:type="dxa" w:w="100"/>
              <w:right w:type="dxa" w:w="140"/>
            </w:tcMar>
            <w:vAlign w:val="center"/>
          </w:tcPr>
          <w:p>
            <w:r>
              <w:rPr>
                <w:color w:val="1A1D29"/>
                <w:sz w:val="19"/>
                <w:szCs w:val="19"/>
              </w:rPr>
              <w:t xml:space="preserve">Minimum activity threshold</w:t>
            </w:r>
          </w:p>
        </w:tc>
        <w:tc>
          <w:tcPr>
            <w:tcW w:type="pct" w:w="2.2%"/>
            <w:tcBorders>
              <w:top w:val="single" w:color="D8DCE8" w:sz="2"/>
              <w:left w:val="single" w:color="D8DCE8" w:sz="2"/>
              <w:bottom w:val="single" w:color="D8DCE8" w:sz="2"/>
              <w:right w:val="single" w:color="D8DCE8" w:sz="2"/>
            </w:tcBorders>
            <w:tcMar>
              <w:top w:type="dxa" w:w="100"/>
              <w:left w:type="dxa" w:w="140"/>
              <w:bottom w:type="dxa" w:w="100"/>
              <w:right w:type="dxa" w:w="140"/>
            </w:tcMar>
            <w:vAlign w:val="center"/>
          </w:tcPr>
          <w:p>
            <w:r>
              <w:rPr>
                <w:color w:val="1A1D29"/>
                <w:sz w:val="19"/>
                <w:szCs w:val="19"/>
              </w:rPr>
              <w:t xml:space="preserve">The invited user must send at least a configurable minimum number of messages before the referral converts from pending to valid.</w:t>
            </w:r>
          </w:p>
        </w:tc>
      </w:tr>
    </w:tbl>
    <w:p>
      <w:pPr>
        <w:spacing w:after="60" w:line="276"/>
      </w:pPr>
      <w:r>
        <w:rPr>
          <w:i w:val="false"/>
          <w:iCs w:val="false"/>
          <w:color w:val="1A1D29"/>
          <w:sz w:val="21"/>
          <w:szCs w:val="21"/>
        </w:rPr>
        <w:t xml:space="preserve">Referrals that fail validation remain in a pending state and do not generate rewards or leaderboard credit until — or unless — they are confirmed. This protects against fake accounts, drop-in-drop-out abuse, and inflated invite counts.</w:t>
      </w:r>
    </w:p>
    <w:p>
      <w:pPr>
        <w:pStyle w:val="Heading1"/>
        <w:spacing w:after="140" w:before="320"/>
        <w:outlineLvl w:val="0"/>
      </w:pPr>
      <w:r>
        <w:rPr>
          <w:b/>
          <w:bCs/>
        </w:rPr>
        <w:t xml:space="preserve">5. Admin Dashboard</w:t>
      </w:r>
    </w:p>
    <w:p>
      <w:pPr>
        <w:spacing w:after="200" w:before="0"/>
      </w:pPr>
      <w:r>
        <w:rPr>
          <w:i/>
          <w:iCs/>
          <w:color w:val="6B7280"/>
          <w:sz w:val="19"/>
          <w:szCs w:val="19"/>
        </w:rPr>
        <w:t xml:space="preserve">Web application used by community operators to manage the program.</w:t>
      </w:r>
    </w:p>
    <w:p>
      <w:pPr>
        <w:pStyle w:val="Heading2"/>
        <w:spacing w:after="140" w:before="320"/>
        <w:outlineLvl w:val="1"/>
      </w:pPr>
      <w:r>
        <w:rPr>
          <w:b/>
          <w:bCs/>
        </w:rPr>
        <w:t xml:space="preserve">5.1 Access &amp; Security</w:t>
      </w:r>
    </w:p>
    <w:p>
      <w:pPr>
        <w:pStyle w:val="ListParagraph"/>
        <w:numPr>
          <w:ilvl w:val="0"/>
          <w:numId w:val="2"/>
        </w:numPr>
        <w:spacing w:after="70" w:line="268"/>
      </w:pPr>
      <w:r>
        <w:rPr>
          <w:sz w:val="21"/>
          <w:szCs w:val="21"/>
        </w:rPr>
        <w:t xml:space="preserve"/>
      </w:r>
      <w:r>
        <w:rPr>
          <w:b/>
          <w:bCs/>
          <w:color w:val="1A1D29"/>
          <w:sz w:val="21"/>
          <w:szCs w:val="21"/>
        </w:rPr>
        <w:t xml:space="preserve">Login</w:t>
      </w:r>
      <w:r>
        <w:rPr>
          <w:color w:val="1A1D29"/>
          <w:sz w:val="21"/>
          <w:szCs w:val="21"/>
        </w:rPr>
        <w:t xml:space="preserve"> — JWT-based authentication with session expiry and role-aware access control</w:t>
      </w:r>
    </w:p>
    <w:p>
      <w:pPr>
        <w:pStyle w:val="Heading2"/>
        <w:spacing w:after="140" w:before="320"/>
        <w:outlineLvl w:val="1"/>
      </w:pPr>
      <w:r>
        <w:rPr>
          <w:b/>
          <w:bCs/>
        </w:rPr>
        <w:t xml:space="preserve">5.2 Management Modules</w:t>
      </w:r>
    </w:p>
    <w:p>
      <w:pPr>
        <w:pStyle w:val="ListParagraph"/>
        <w:numPr>
          <w:ilvl w:val="0"/>
          <w:numId w:val="2"/>
        </w:numPr>
        <w:spacing w:after="70" w:line="268"/>
      </w:pPr>
      <w:r>
        <w:rPr>
          <w:sz w:val="21"/>
          <w:szCs w:val="21"/>
        </w:rPr>
        <w:t xml:space="preserve"/>
      </w:r>
      <w:r>
        <w:rPr>
          <w:b/>
          <w:bCs/>
          <w:color w:val="1A1D29"/>
          <w:sz w:val="21"/>
          <w:szCs w:val="21"/>
        </w:rPr>
        <w:t xml:space="preserve">User management</w:t>
      </w:r>
      <w:r>
        <w:rPr>
          <w:color w:val="1A1D29"/>
          <w:sz w:val="21"/>
          <w:szCs w:val="21"/>
        </w:rPr>
        <w:t xml:space="preserve"> — Search, view, and moderate user profiles, XP, and status (active / banned / flagged)</w:t>
      </w:r>
    </w:p>
    <w:p>
      <w:pPr>
        <w:pStyle w:val="ListParagraph"/>
        <w:numPr>
          <w:ilvl w:val="0"/>
          <w:numId w:val="2"/>
        </w:numPr>
        <w:spacing w:after="70" w:line="268"/>
      </w:pPr>
      <w:r>
        <w:rPr>
          <w:sz w:val="21"/>
          <w:szCs w:val="21"/>
        </w:rPr>
        <w:t xml:space="preserve"/>
      </w:r>
      <w:r>
        <w:rPr>
          <w:b/>
          <w:bCs/>
          <w:color w:val="1A1D29"/>
          <w:sz w:val="21"/>
          <w:szCs w:val="21"/>
        </w:rPr>
        <w:t xml:space="preserve">Referral management</w:t>
      </w:r>
      <w:r>
        <w:rPr>
          <w:color w:val="1A1D29"/>
          <w:sz w:val="21"/>
          <w:szCs w:val="21"/>
        </w:rPr>
        <w:t xml:space="preserve"> — Inspect referral chains, override validation status, and investigate suspicious inviter activity</w:t>
      </w:r>
    </w:p>
    <w:p>
      <w:pPr>
        <w:pStyle w:val="ListParagraph"/>
        <w:numPr>
          <w:ilvl w:val="0"/>
          <w:numId w:val="2"/>
        </w:numPr>
        <w:spacing w:after="70" w:line="268"/>
      </w:pPr>
      <w:r>
        <w:rPr>
          <w:sz w:val="21"/>
          <w:szCs w:val="21"/>
        </w:rPr>
        <w:t xml:space="preserve"/>
      </w:r>
      <w:r>
        <w:rPr>
          <w:b/>
          <w:bCs/>
          <w:color w:val="1A1D29"/>
          <w:sz w:val="21"/>
          <w:szCs w:val="21"/>
        </w:rPr>
        <w:t xml:space="preserve">Create / edit tasks</w:t>
      </w:r>
      <w:r>
        <w:rPr>
          <w:color w:val="1A1D29"/>
          <w:sz w:val="21"/>
          <w:szCs w:val="21"/>
        </w:rPr>
        <w:t xml:space="preserve"> — Create, edit, publish, and retire tasks, including reward value and eligibility window</w:t>
      </w:r>
    </w:p>
    <w:p>
      <w:pPr>
        <w:pStyle w:val="ListParagraph"/>
        <w:numPr>
          <w:ilvl w:val="0"/>
          <w:numId w:val="2"/>
        </w:numPr>
        <w:spacing w:after="70" w:line="268"/>
      </w:pPr>
      <w:r>
        <w:rPr>
          <w:sz w:val="21"/>
          <w:szCs w:val="21"/>
        </w:rPr>
        <w:t xml:space="preserve"/>
      </w:r>
      <w:r>
        <w:rPr>
          <w:b/>
          <w:bCs/>
          <w:color w:val="1A1D29"/>
          <w:sz w:val="21"/>
          <w:szCs w:val="21"/>
        </w:rPr>
        <w:t xml:space="preserve">Reward approval</w:t>
      </w:r>
      <w:r>
        <w:rPr>
          <w:color w:val="1A1D29"/>
          <w:sz w:val="21"/>
          <w:szCs w:val="21"/>
        </w:rPr>
        <w:t xml:space="preserve"> — Review pending rewards and approve, reject, or adjust before payout/fulfillment</w:t>
      </w:r>
    </w:p>
    <w:p>
      <w:pPr>
        <w:pStyle w:val="ListParagraph"/>
        <w:numPr>
          <w:ilvl w:val="0"/>
          <w:numId w:val="2"/>
        </w:numPr>
        <w:spacing w:after="70" w:line="268"/>
      </w:pPr>
      <w:r>
        <w:rPr>
          <w:sz w:val="21"/>
          <w:szCs w:val="21"/>
        </w:rPr>
        <w:t xml:space="preserve"/>
      </w:r>
      <w:r>
        <w:rPr>
          <w:b/>
          <w:bCs/>
          <w:color w:val="1A1D29"/>
          <w:sz w:val="21"/>
          <w:szCs w:val="21"/>
        </w:rPr>
        <w:t xml:space="preserve">Broadcast messages</w:t>
      </w:r>
      <w:r>
        <w:rPr>
          <w:color w:val="1A1D29"/>
          <w:sz w:val="21"/>
          <w:szCs w:val="21"/>
        </w:rPr>
        <w:t xml:space="preserve"> — Compose and send announcements to all users or a segmented audience</w:t>
      </w:r>
    </w:p>
    <w:p>
      <w:pPr>
        <w:pStyle w:val="Heading2"/>
        <w:spacing w:after="140" w:before="320"/>
        <w:outlineLvl w:val="1"/>
      </w:pPr>
      <w:r>
        <w:rPr>
          <w:b/>
          <w:bCs/>
        </w:rPr>
        <w:t xml:space="preserve">5.3 Analytics</w:t>
      </w:r>
    </w:p>
    <w:p>
      <w:pPr>
        <w:pStyle w:val="ListParagraph"/>
        <w:numPr>
          <w:ilvl w:val="0"/>
          <w:numId w:val="2"/>
        </w:numPr>
        <w:spacing w:after="70" w:line="268"/>
      </w:pPr>
      <w:r>
        <w:rPr>
          <w:sz w:val="21"/>
          <w:szCs w:val="21"/>
        </w:rPr>
        <w:t xml:space="preserve"/>
      </w:r>
      <w:r>
        <w:rPr>
          <w:color w:val="1A1D29"/>
          <w:sz w:val="21"/>
          <w:szCs w:val="21"/>
        </w:rPr>
        <w:t xml:space="preserve">Daily Active Users, Weekly Active Users, retention curves by cohort, and top inviter rankings</w:t>
      </w:r>
    </w:p>
    <w:p>
      <w:pPr>
        <w:pStyle w:val="ListParagraph"/>
        <w:numPr>
          <w:ilvl w:val="0"/>
          <w:numId w:val="2"/>
        </w:numPr>
        <w:spacing w:after="70" w:line="268"/>
      </w:pPr>
      <w:r>
        <w:rPr>
          <w:sz w:val="21"/>
          <w:szCs w:val="21"/>
        </w:rPr>
        <w:t xml:space="preserve"/>
      </w:r>
      <w:r>
        <w:rPr>
          <w:b/>
          <w:bCs/>
          <w:color w:val="1A1D29"/>
          <w:sz w:val="21"/>
          <w:szCs w:val="21"/>
        </w:rPr>
        <w:t xml:space="preserve">CSV export</w:t>
      </w:r>
      <w:r>
        <w:rPr>
          <w:color w:val="1A1D29"/>
          <w:sz w:val="21"/>
          <w:szCs w:val="21"/>
        </w:rPr>
        <w:t xml:space="preserve"> — Exportable reporting via CSV for offline analysis and stakeholder reporting</w:t>
      </w:r>
    </w:p>
    <w:p>
      <w:pPr>
        <w:pStyle w:val="Heading1"/>
        <w:spacing w:after="140" w:before="320"/>
        <w:outlineLvl w:val="0"/>
      </w:pPr>
      <w:r>
        <w:rPr>
          <w:b/>
          <w:bCs/>
        </w:rPr>
        <w:t xml:space="preserve">6. Data Model</w:t>
      </w:r>
    </w:p>
    <w:p>
      <w:pPr>
        <w:spacing w:after="200" w:before="0"/>
      </w:pPr>
      <w:r>
        <w:rPr>
          <w:i/>
          <w:iCs/>
          <w:color w:val="6B7280"/>
          <w:sz w:val="19"/>
          <w:szCs w:val="19"/>
        </w:rPr>
        <w:t xml:space="preserve">Core entities. Exact field-level schema to be finalized during technical design.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
        <w:gridCol w:w="198"/>
      </w:tblGrid>
      <w:tr>
        <w:trPr>
          <w:tblHeader/>
        </w:trPr>
        <w:tc>
          <w:tcPr>
            <w:tcW w:type="pct" w:w="1%"/>
            <w:tcBorders>
              <w:top w:val="single" w:color="D8DCE8" w:sz="2"/>
              <w:left w:val="single" w:color="D8DCE8" w:sz="2"/>
              <w:bottom w:val="single" w:color="D8DCE8" w:sz="2"/>
              <w:right w:val="single" w:color="D8DCE8" w:sz="2"/>
            </w:tcBorders>
            <w:shd w:fill="26408A" w:val="clear"/>
            <w:tcMar>
              <w:top w:type="dxa" w:w="100"/>
              <w:left w:type="dxa" w:w="140"/>
              <w:bottom w:type="dxa" w:w="100"/>
              <w:right w:type="dxa" w:w="140"/>
            </w:tcMar>
            <w:vAlign w:val="center"/>
          </w:tcPr>
          <w:p>
            <w:r>
              <w:rPr>
                <w:b/>
                <w:bCs/>
                <w:color w:val="FFFFFF"/>
                <w:sz w:val="19"/>
                <w:szCs w:val="19"/>
              </w:rPr>
              <w:t xml:space="preserve">Entity</w:t>
            </w:r>
          </w:p>
        </w:tc>
        <w:tc>
          <w:tcPr>
            <w:tcW w:type="pct" w:w="2.2%"/>
            <w:tcBorders>
              <w:top w:val="single" w:color="D8DCE8" w:sz="2"/>
              <w:left w:val="single" w:color="D8DCE8" w:sz="2"/>
              <w:bottom w:val="single" w:color="D8DCE8" w:sz="2"/>
              <w:right w:val="single" w:color="D8DCE8" w:sz="2"/>
            </w:tcBorders>
            <w:shd w:fill="26408A" w:val="clear"/>
            <w:tcMar>
              <w:top w:type="dxa" w:w="100"/>
              <w:left w:type="dxa" w:w="140"/>
              <w:bottom w:type="dxa" w:w="100"/>
              <w:right w:type="dxa" w:w="140"/>
            </w:tcMar>
            <w:vAlign w:val="center"/>
          </w:tcPr>
          <w:p>
            <w:r>
              <w:rPr>
                <w:b/>
                <w:bCs/>
                <w:color w:val="FFFFFF"/>
                <w:sz w:val="19"/>
                <w:szCs w:val="19"/>
              </w:rPr>
              <w:t xml:space="preserve">Purpose</w:t>
            </w:r>
          </w:p>
        </w:tc>
      </w:tr>
      <w:tr>
        <w:tc>
          <w:tcPr>
            <w:tcW w:type="pct" w:w="1%"/>
            <w:tcBorders>
              <w:top w:val="single" w:color="D8DCE8" w:sz="2"/>
              <w:left w:val="single" w:color="D8DCE8" w:sz="2"/>
              <w:bottom w:val="single" w:color="D8DCE8" w:sz="2"/>
              <w:right w:val="single" w:color="D8DCE8" w:sz="2"/>
            </w:tcBorders>
            <w:tcMar>
              <w:top w:type="dxa" w:w="100"/>
              <w:left w:type="dxa" w:w="140"/>
              <w:bottom w:type="dxa" w:w="100"/>
              <w:right w:type="dxa" w:w="140"/>
            </w:tcMar>
            <w:vAlign w:val="center"/>
          </w:tcPr>
          <w:p>
            <w:r>
              <w:rPr>
                <w:color w:val="1A1D29"/>
                <w:sz w:val="19"/>
                <w:szCs w:val="19"/>
              </w:rPr>
              <w:t xml:space="preserve">Users</w:t>
            </w:r>
          </w:p>
        </w:tc>
        <w:tc>
          <w:tcPr>
            <w:tcW w:type="pct" w:w="2.2%"/>
            <w:tcBorders>
              <w:top w:val="single" w:color="D8DCE8" w:sz="2"/>
              <w:left w:val="single" w:color="D8DCE8" w:sz="2"/>
              <w:bottom w:val="single" w:color="D8DCE8" w:sz="2"/>
              <w:right w:val="single" w:color="D8DCE8" w:sz="2"/>
            </w:tcBorders>
            <w:tcMar>
              <w:top w:type="dxa" w:w="100"/>
              <w:left w:type="dxa" w:w="140"/>
              <w:bottom w:type="dxa" w:w="100"/>
              <w:right w:type="dxa" w:w="140"/>
            </w:tcMar>
            <w:vAlign w:val="center"/>
          </w:tcPr>
          <w:p>
            <w:r>
              <w:rPr>
                <w:color w:val="1A1D29"/>
                <w:sz w:val="19"/>
                <w:szCs w:val="19"/>
              </w:rPr>
              <w:t xml:space="preserve">Telegram user profile, XP, level, status, and referral code.</w:t>
            </w:r>
          </w:p>
        </w:tc>
      </w:tr>
      <w:tr>
        <w:tc>
          <w:tcPr>
            <w:tcW w:type="pct" w:w="1%"/>
            <w:tcBorders>
              <w:top w:val="single" w:color="D8DCE8" w:sz="2"/>
              <w:left w:val="single" w:color="D8DCE8" w:sz="2"/>
              <w:bottom w:val="single" w:color="D8DCE8" w:sz="2"/>
              <w:right w:val="single" w:color="D8DCE8" w:sz="2"/>
            </w:tcBorders>
            <w:shd w:fill="F1F3FA" w:val="clear"/>
            <w:tcMar>
              <w:top w:type="dxa" w:w="100"/>
              <w:left w:type="dxa" w:w="140"/>
              <w:bottom w:type="dxa" w:w="100"/>
              <w:right w:type="dxa" w:w="140"/>
            </w:tcMar>
            <w:vAlign w:val="center"/>
          </w:tcPr>
          <w:p>
            <w:r>
              <w:rPr>
                <w:color w:val="1A1D29"/>
                <w:sz w:val="19"/>
                <w:szCs w:val="19"/>
              </w:rPr>
              <w:t xml:space="preserve">Referrals</w:t>
            </w:r>
          </w:p>
        </w:tc>
        <w:tc>
          <w:tcPr>
            <w:tcW w:type="pct" w:w="2.2%"/>
            <w:tcBorders>
              <w:top w:val="single" w:color="D8DCE8" w:sz="2"/>
              <w:left w:val="single" w:color="D8DCE8" w:sz="2"/>
              <w:bottom w:val="single" w:color="D8DCE8" w:sz="2"/>
              <w:right w:val="single" w:color="D8DCE8" w:sz="2"/>
            </w:tcBorders>
            <w:shd w:fill="F1F3FA" w:val="clear"/>
            <w:tcMar>
              <w:top w:type="dxa" w:w="100"/>
              <w:left w:type="dxa" w:w="140"/>
              <w:bottom w:type="dxa" w:w="100"/>
              <w:right w:type="dxa" w:w="140"/>
            </w:tcMar>
            <w:vAlign w:val="center"/>
          </w:tcPr>
          <w:p>
            <w:r>
              <w:rPr>
                <w:color w:val="1A1D29"/>
                <w:sz w:val="19"/>
                <w:szCs w:val="19"/>
              </w:rPr>
              <w:t xml:space="preserve">Inviter → invitee relationship, validation state, and timestamps.</w:t>
            </w:r>
          </w:p>
        </w:tc>
      </w:tr>
      <w:tr>
        <w:tc>
          <w:tcPr>
            <w:tcW w:type="pct" w:w="1%"/>
            <w:tcBorders>
              <w:top w:val="single" w:color="D8DCE8" w:sz="2"/>
              <w:left w:val="single" w:color="D8DCE8" w:sz="2"/>
              <w:bottom w:val="single" w:color="D8DCE8" w:sz="2"/>
              <w:right w:val="single" w:color="D8DCE8" w:sz="2"/>
            </w:tcBorders>
            <w:tcMar>
              <w:top w:type="dxa" w:w="100"/>
              <w:left w:type="dxa" w:w="140"/>
              <w:bottom w:type="dxa" w:w="100"/>
              <w:right w:type="dxa" w:w="140"/>
            </w:tcMar>
            <w:vAlign w:val="center"/>
          </w:tcPr>
          <w:p>
            <w:r>
              <w:rPr>
                <w:color w:val="1A1D29"/>
                <w:sz w:val="19"/>
                <w:szCs w:val="19"/>
              </w:rPr>
              <w:t xml:space="preserve">Rewards</w:t>
            </w:r>
          </w:p>
        </w:tc>
        <w:tc>
          <w:tcPr>
            <w:tcW w:type="pct" w:w="2.2%"/>
            <w:tcBorders>
              <w:top w:val="single" w:color="D8DCE8" w:sz="2"/>
              <w:left w:val="single" w:color="D8DCE8" w:sz="2"/>
              <w:bottom w:val="single" w:color="D8DCE8" w:sz="2"/>
              <w:right w:val="single" w:color="D8DCE8" w:sz="2"/>
            </w:tcBorders>
            <w:tcMar>
              <w:top w:type="dxa" w:w="100"/>
              <w:left w:type="dxa" w:w="140"/>
              <w:bottom w:type="dxa" w:w="100"/>
              <w:right w:type="dxa" w:w="140"/>
            </w:tcMar>
            <w:vAlign w:val="center"/>
          </w:tcPr>
          <w:p>
            <w:r>
              <w:rPr>
                <w:color w:val="1A1D29"/>
                <w:sz w:val="19"/>
                <w:szCs w:val="19"/>
              </w:rPr>
              <w:t xml:space="preserve">Reward records tied to a triggering action, with approval status.</w:t>
            </w:r>
          </w:p>
        </w:tc>
      </w:tr>
      <w:tr>
        <w:tc>
          <w:tcPr>
            <w:tcW w:type="pct" w:w="1%"/>
            <w:tcBorders>
              <w:top w:val="single" w:color="D8DCE8" w:sz="2"/>
              <w:left w:val="single" w:color="D8DCE8" w:sz="2"/>
              <w:bottom w:val="single" w:color="D8DCE8" w:sz="2"/>
              <w:right w:val="single" w:color="D8DCE8" w:sz="2"/>
            </w:tcBorders>
            <w:shd w:fill="F1F3FA" w:val="clear"/>
            <w:tcMar>
              <w:top w:type="dxa" w:w="100"/>
              <w:left w:type="dxa" w:w="140"/>
              <w:bottom w:type="dxa" w:w="100"/>
              <w:right w:type="dxa" w:w="140"/>
            </w:tcMar>
            <w:vAlign w:val="center"/>
          </w:tcPr>
          <w:p>
            <w:r>
              <w:rPr>
                <w:color w:val="1A1D29"/>
                <w:sz w:val="19"/>
                <w:szCs w:val="19"/>
              </w:rPr>
              <w:t xml:space="preserve">Tasks</w:t>
            </w:r>
          </w:p>
        </w:tc>
        <w:tc>
          <w:tcPr>
            <w:tcW w:type="pct" w:w="2.2%"/>
            <w:tcBorders>
              <w:top w:val="single" w:color="D8DCE8" w:sz="2"/>
              <w:left w:val="single" w:color="D8DCE8" w:sz="2"/>
              <w:bottom w:val="single" w:color="D8DCE8" w:sz="2"/>
              <w:right w:val="single" w:color="D8DCE8" w:sz="2"/>
            </w:tcBorders>
            <w:shd w:fill="F1F3FA" w:val="clear"/>
            <w:tcMar>
              <w:top w:type="dxa" w:w="100"/>
              <w:left w:type="dxa" w:w="140"/>
              <w:bottom w:type="dxa" w:w="100"/>
              <w:right w:type="dxa" w:w="140"/>
            </w:tcMar>
            <w:vAlign w:val="center"/>
          </w:tcPr>
          <w:p>
            <w:r>
              <w:rPr>
                <w:color w:val="1A1D29"/>
                <w:sz w:val="19"/>
                <w:szCs w:val="19"/>
              </w:rPr>
              <w:t xml:space="preserve">Admin-defined task definitions, reward value, and eligibility window.</w:t>
            </w:r>
          </w:p>
        </w:tc>
      </w:tr>
      <w:tr>
        <w:tc>
          <w:tcPr>
            <w:tcW w:type="pct" w:w="1%"/>
            <w:tcBorders>
              <w:top w:val="single" w:color="D8DCE8" w:sz="2"/>
              <w:left w:val="single" w:color="D8DCE8" w:sz="2"/>
              <w:bottom w:val="single" w:color="D8DCE8" w:sz="2"/>
              <w:right w:val="single" w:color="D8DCE8" w:sz="2"/>
            </w:tcBorders>
            <w:tcMar>
              <w:top w:type="dxa" w:w="100"/>
              <w:left w:type="dxa" w:w="140"/>
              <w:bottom w:type="dxa" w:w="100"/>
              <w:right w:type="dxa" w:w="140"/>
            </w:tcMar>
            <w:vAlign w:val="center"/>
          </w:tcPr>
          <w:p>
            <w:r>
              <w:rPr>
                <w:color w:val="1A1D29"/>
                <w:sz w:val="19"/>
                <w:szCs w:val="19"/>
              </w:rPr>
              <w:t xml:space="preserve">TaskCompletions</w:t>
            </w:r>
          </w:p>
        </w:tc>
        <w:tc>
          <w:tcPr>
            <w:tcW w:type="pct" w:w="2.2%"/>
            <w:tcBorders>
              <w:top w:val="single" w:color="D8DCE8" w:sz="2"/>
              <w:left w:val="single" w:color="D8DCE8" w:sz="2"/>
              <w:bottom w:val="single" w:color="D8DCE8" w:sz="2"/>
              <w:right w:val="single" w:color="D8DCE8" w:sz="2"/>
            </w:tcBorders>
            <w:tcMar>
              <w:top w:type="dxa" w:w="100"/>
              <w:left w:type="dxa" w:w="140"/>
              <w:bottom w:type="dxa" w:w="100"/>
              <w:right w:type="dxa" w:w="140"/>
            </w:tcMar>
            <w:vAlign w:val="center"/>
          </w:tcPr>
          <w:p>
            <w:r>
              <w:rPr>
                <w:color w:val="1A1D29"/>
                <w:sz w:val="19"/>
                <w:szCs w:val="19"/>
              </w:rPr>
              <w:t xml:space="preserve">Per-user record of task completion and reward issuance.</w:t>
            </w:r>
          </w:p>
        </w:tc>
      </w:tr>
      <w:tr>
        <w:tc>
          <w:tcPr>
            <w:tcW w:type="pct" w:w="1%"/>
            <w:tcBorders>
              <w:top w:val="single" w:color="D8DCE8" w:sz="2"/>
              <w:left w:val="single" w:color="D8DCE8" w:sz="2"/>
              <w:bottom w:val="single" w:color="D8DCE8" w:sz="2"/>
              <w:right w:val="single" w:color="D8DCE8" w:sz="2"/>
            </w:tcBorders>
            <w:shd w:fill="F1F3FA" w:val="clear"/>
            <w:tcMar>
              <w:top w:type="dxa" w:w="100"/>
              <w:left w:type="dxa" w:w="140"/>
              <w:bottom w:type="dxa" w:w="100"/>
              <w:right w:type="dxa" w:w="140"/>
            </w:tcMar>
            <w:vAlign w:val="center"/>
          </w:tcPr>
          <w:p>
            <w:r>
              <w:rPr>
                <w:color w:val="1A1D29"/>
                <w:sz w:val="19"/>
                <w:szCs w:val="19"/>
              </w:rPr>
              <w:t xml:space="preserve">XPHistory</w:t>
            </w:r>
          </w:p>
        </w:tc>
        <w:tc>
          <w:tcPr>
            <w:tcW w:type="pct" w:w="2.2%"/>
            <w:tcBorders>
              <w:top w:val="single" w:color="D8DCE8" w:sz="2"/>
              <w:left w:val="single" w:color="D8DCE8" w:sz="2"/>
              <w:bottom w:val="single" w:color="D8DCE8" w:sz="2"/>
              <w:right w:val="single" w:color="D8DCE8" w:sz="2"/>
            </w:tcBorders>
            <w:shd w:fill="F1F3FA" w:val="clear"/>
            <w:tcMar>
              <w:top w:type="dxa" w:w="100"/>
              <w:left w:type="dxa" w:w="140"/>
              <w:bottom w:type="dxa" w:w="100"/>
              <w:right w:type="dxa" w:w="140"/>
            </w:tcMar>
            <w:vAlign w:val="center"/>
          </w:tcPr>
          <w:p>
            <w:r>
              <w:rPr>
                <w:color w:val="1A1D29"/>
                <w:sz w:val="19"/>
                <w:szCs w:val="19"/>
              </w:rPr>
              <w:t xml:space="preserve">Append-only ledger of XP-earning events per user.</w:t>
            </w:r>
          </w:p>
        </w:tc>
      </w:tr>
      <w:tr>
        <w:tc>
          <w:tcPr>
            <w:tcW w:type="pct" w:w="1%"/>
            <w:tcBorders>
              <w:top w:val="single" w:color="D8DCE8" w:sz="2"/>
              <w:left w:val="single" w:color="D8DCE8" w:sz="2"/>
              <w:bottom w:val="single" w:color="D8DCE8" w:sz="2"/>
              <w:right w:val="single" w:color="D8DCE8" w:sz="2"/>
            </w:tcBorders>
            <w:tcMar>
              <w:top w:type="dxa" w:w="100"/>
              <w:left w:type="dxa" w:w="140"/>
              <w:bottom w:type="dxa" w:w="100"/>
              <w:right w:type="dxa" w:w="140"/>
            </w:tcMar>
            <w:vAlign w:val="center"/>
          </w:tcPr>
          <w:p>
            <w:r>
              <w:rPr>
                <w:color w:val="1A1D29"/>
                <w:sz w:val="19"/>
                <w:szCs w:val="19"/>
              </w:rPr>
              <w:t xml:space="preserve">DailyCheckins</w:t>
            </w:r>
          </w:p>
        </w:tc>
        <w:tc>
          <w:tcPr>
            <w:tcW w:type="pct" w:w="2.2%"/>
            <w:tcBorders>
              <w:top w:val="single" w:color="D8DCE8" w:sz="2"/>
              <w:left w:val="single" w:color="D8DCE8" w:sz="2"/>
              <w:bottom w:val="single" w:color="D8DCE8" w:sz="2"/>
              <w:right w:val="single" w:color="D8DCE8" w:sz="2"/>
            </w:tcBorders>
            <w:tcMar>
              <w:top w:type="dxa" w:w="100"/>
              <w:left w:type="dxa" w:w="140"/>
              <w:bottom w:type="dxa" w:w="100"/>
              <w:right w:type="dxa" w:w="140"/>
            </w:tcMar>
            <w:vAlign w:val="center"/>
          </w:tcPr>
          <w:p>
            <w:r>
              <w:rPr>
                <w:color w:val="1A1D29"/>
                <w:sz w:val="19"/>
                <w:szCs w:val="19"/>
              </w:rPr>
              <w:t xml:space="preserve">Check-in log used for streaks and daily engagement tracking.</w:t>
            </w:r>
          </w:p>
        </w:tc>
      </w:tr>
      <w:tr>
        <w:tc>
          <w:tcPr>
            <w:tcW w:type="pct" w:w="1%"/>
            <w:tcBorders>
              <w:top w:val="single" w:color="D8DCE8" w:sz="2"/>
              <w:left w:val="single" w:color="D8DCE8" w:sz="2"/>
              <w:bottom w:val="single" w:color="D8DCE8" w:sz="2"/>
              <w:right w:val="single" w:color="D8DCE8" w:sz="2"/>
            </w:tcBorders>
            <w:shd w:fill="F1F3FA" w:val="clear"/>
            <w:tcMar>
              <w:top w:type="dxa" w:w="100"/>
              <w:left w:type="dxa" w:w="140"/>
              <w:bottom w:type="dxa" w:w="100"/>
              <w:right w:type="dxa" w:w="140"/>
            </w:tcMar>
            <w:vAlign w:val="center"/>
          </w:tcPr>
          <w:p>
            <w:r>
              <w:rPr>
                <w:color w:val="1A1D29"/>
                <w:sz w:val="19"/>
                <w:szCs w:val="19"/>
              </w:rPr>
              <w:t xml:space="preserve">Broadcasts</w:t>
            </w:r>
          </w:p>
        </w:tc>
        <w:tc>
          <w:tcPr>
            <w:tcW w:type="pct" w:w="2.2%"/>
            <w:tcBorders>
              <w:top w:val="single" w:color="D8DCE8" w:sz="2"/>
              <w:left w:val="single" w:color="D8DCE8" w:sz="2"/>
              <w:bottom w:val="single" w:color="D8DCE8" w:sz="2"/>
              <w:right w:val="single" w:color="D8DCE8" w:sz="2"/>
            </w:tcBorders>
            <w:shd w:fill="F1F3FA" w:val="clear"/>
            <w:tcMar>
              <w:top w:type="dxa" w:w="100"/>
              <w:left w:type="dxa" w:w="140"/>
              <w:bottom w:type="dxa" w:w="100"/>
              <w:right w:type="dxa" w:w="140"/>
            </w:tcMar>
            <w:vAlign w:val="center"/>
          </w:tcPr>
          <w:p>
            <w:r>
              <w:rPr>
                <w:color w:val="1A1D29"/>
                <w:sz w:val="19"/>
                <w:szCs w:val="19"/>
              </w:rPr>
              <w:t xml:space="preserve">Sent announcements, target audience, and delivery status.</w:t>
            </w:r>
          </w:p>
        </w:tc>
      </w:tr>
      <w:tr>
        <w:tc>
          <w:tcPr>
            <w:tcW w:type="pct" w:w="1%"/>
            <w:tcBorders>
              <w:top w:val="single" w:color="D8DCE8" w:sz="2"/>
              <w:left w:val="single" w:color="D8DCE8" w:sz="2"/>
              <w:bottom w:val="single" w:color="D8DCE8" w:sz="2"/>
              <w:right w:val="single" w:color="D8DCE8" w:sz="2"/>
            </w:tcBorders>
            <w:tcMar>
              <w:top w:type="dxa" w:w="100"/>
              <w:left w:type="dxa" w:w="140"/>
              <w:bottom w:type="dxa" w:w="100"/>
              <w:right w:type="dxa" w:w="140"/>
            </w:tcMar>
            <w:vAlign w:val="center"/>
          </w:tcPr>
          <w:p>
            <w:r>
              <w:rPr>
                <w:color w:val="1A1D29"/>
                <w:sz w:val="19"/>
                <w:szCs w:val="19"/>
              </w:rPr>
              <w:t xml:space="preserve">Settings</w:t>
            </w:r>
          </w:p>
        </w:tc>
        <w:tc>
          <w:tcPr>
            <w:tcW w:type="pct" w:w="2.2%"/>
            <w:tcBorders>
              <w:top w:val="single" w:color="D8DCE8" w:sz="2"/>
              <w:left w:val="single" w:color="D8DCE8" w:sz="2"/>
              <w:bottom w:val="single" w:color="D8DCE8" w:sz="2"/>
              <w:right w:val="single" w:color="D8DCE8" w:sz="2"/>
            </w:tcBorders>
            <w:tcMar>
              <w:top w:type="dxa" w:w="100"/>
              <w:left w:type="dxa" w:w="140"/>
              <w:bottom w:type="dxa" w:w="100"/>
              <w:right w:type="dxa" w:w="140"/>
            </w:tcMar>
            <w:vAlign w:val="center"/>
          </w:tcPr>
          <w:p>
            <w:r>
              <w:rPr>
                <w:color w:val="1A1D29"/>
                <w:sz w:val="19"/>
                <w:szCs w:val="19"/>
              </w:rPr>
              <w:t xml:space="preserve">Configurable system parameters (validation thresholds, XP rates, etc.).</w:t>
            </w:r>
          </w:p>
        </w:tc>
      </w:tr>
      <w:tr>
        <w:tc>
          <w:tcPr>
            <w:tcW w:type="pct" w:w="1%"/>
            <w:tcBorders>
              <w:top w:val="single" w:color="D8DCE8" w:sz="2"/>
              <w:left w:val="single" w:color="D8DCE8" w:sz="2"/>
              <w:bottom w:val="single" w:color="D8DCE8" w:sz="2"/>
              <w:right w:val="single" w:color="D8DCE8" w:sz="2"/>
            </w:tcBorders>
            <w:shd w:fill="F1F3FA" w:val="clear"/>
            <w:tcMar>
              <w:top w:type="dxa" w:w="100"/>
              <w:left w:type="dxa" w:w="140"/>
              <w:bottom w:type="dxa" w:w="100"/>
              <w:right w:type="dxa" w:w="140"/>
            </w:tcMar>
            <w:vAlign w:val="center"/>
          </w:tcPr>
          <w:p>
            <w:r>
              <w:rPr>
                <w:color w:val="1A1D29"/>
                <w:sz w:val="19"/>
                <w:szCs w:val="19"/>
              </w:rPr>
              <w:t xml:space="preserve">AuditLogs</w:t>
            </w:r>
          </w:p>
        </w:tc>
        <w:tc>
          <w:tcPr>
            <w:tcW w:type="pct" w:w="2.2%"/>
            <w:tcBorders>
              <w:top w:val="single" w:color="D8DCE8" w:sz="2"/>
              <w:left w:val="single" w:color="D8DCE8" w:sz="2"/>
              <w:bottom w:val="single" w:color="D8DCE8" w:sz="2"/>
              <w:right w:val="single" w:color="D8DCE8" w:sz="2"/>
            </w:tcBorders>
            <w:shd w:fill="F1F3FA" w:val="clear"/>
            <w:tcMar>
              <w:top w:type="dxa" w:w="100"/>
              <w:left w:type="dxa" w:w="140"/>
              <w:bottom w:type="dxa" w:w="100"/>
              <w:right w:type="dxa" w:w="140"/>
            </w:tcMar>
            <w:vAlign w:val="center"/>
          </w:tcPr>
          <w:p>
            <w:r>
              <w:rPr>
                <w:color w:val="1A1D29"/>
                <w:sz w:val="19"/>
                <w:szCs w:val="19"/>
              </w:rPr>
              <w:t xml:space="preserve">Admin action history for accountability and rollback.</w:t>
            </w:r>
          </w:p>
        </w:tc>
      </w:tr>
    </w:tbl>
    <w:p>
      <w:pPr>
        <w:pStyle w:val="Heading1"/>
        <w:spacing w:after="140" w:before="320"/>
        <w:outlineLvl w:val="0"/>
      </w:pPr>
      <w:r>
        <w:rPr>
          <w:b/>
          <w:bCs/>
        </w:rPr>
        <w:t xml:space="preserve">7. Technical Architecture</w:t>
      </w:r>
    </w:p>
    <w:p>
      <w:pPr>
        <w:pStyle w:val="Heading2"/>
        <w:spacing w:after="140" w:before="320"/>
        <w:outlineLvl w:val="1"/>
      </w:pPr>
      <w:r>
        <w:rPr>
          <w:b/>
          <w:bCs/>
        </w:rPr>
        <w:t xml:space="preserve">7.1 Stack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
        <w:gridCol w:w="198"/>
      </w:tblGrid>
      <w:tr>
        <w:trPr>
          <w:tblHeader/>
        </w:trPr>
        <w:tc>
          <w:tcPr>
            <w:tcW w:type="pct" w:w="1%"/>
            <w:tcBorders>
              <w:top w:val="single" w:color="D8DCE8" w:sz="2"/>
              <w:left w:val="single" w:color="D8DCE8" w:sz="2"/>
              <w:bottom w:val="single" w:color="D8DCE8" w:sz="2"/>
              <w:right w:val="single" w:color="D8DCE8" w:sz="2"/>
            </w:tcBorders>
            <w:shd w:fill="26408A" w:val="clear"/>
            <w:tcMar>
              <w:top w:type="dxa" w:w="100"/>
              <w:left w:type="dxa" w:w="140"/>
              <w:bottom w:type="dxa" w:w="100"/>
              <w:right w:type="dxa" w:w="140"/>
            </w:tcMar>
            <w:vAlign w:val="center"/>
          </w:tcPr>
          <w:p>
            <w:r>
              <w:rPr>
                <w:b/>
                <w:bCs/>
                <w:color w:val="FFFFFF"/>
                <w:sz w:val="19"/>
                <w:szCs w:val="19"/>
              </w:rPr>
              <w:t xml:space="preserve">Layer</w:t>
            </w:r>
          </w:p>
        </w:tc>
        <w:tc>
          <w:tcPr>
            <w:tcW w:type="pct" w:w="2.2%"/>
            <w:tcBorders>
              <w:top w:val="single" w:color="D8DCE8" w:sz="2"/>
              <w:left w:val="single" w:color="D8DCE8" w:sz="2"/>
              <w:bottom w:val="single" w:color="D8DCE8" w:sz="2"/>
              <w:right w:val="single" w:color="D8DCE8" w:sz="2"/>
            </w:tcBorders>
            <w:shd w:fill="26408A" w:val="clear"/>
            <w:tcMar>
              <w:top w:type="dxa" w:w="100"/>
              <w:left w:type="dxa" w:w="140"/>
              <w:bottom w:type="dxa" w:w="100"/>
              <w:right w:type="dxa" w:w="140"/>
            </w:tcMar>
            <w:vAlign w:val="center"/>
          </w:tcPr>
          <w:p>
            <w:r>
              <w:rPr>
                <w:b/>
                <w:bCs/>
                <w:color w:val="FFFFFF"/>
                <w:sz w:val="19"/>
                <w:szCs w:val="19"/>
              </w:rPr>
              <w:t xml:space="preserve">Technology</w:t>
            </w:r>
          </w:p>
        </w:tc>
      </w:tr>
      <w:tr>
        <w:tc>
          <w:tcPr>
            <w:tcW w:type="pct" w:w="1%"/>
            <w:tcBorders>
              <w:top w:val="single" w:color="D8DCE8" w:sz="2"/>
              <w:left w:val="single" w:color="D8DCE8" w:sz="2"/>
              <w:bottom w:val="single" w:color="D8DCE8" w:sz="2"/>
              <w:right w:val="single" w:color="D8DCE8" w:sz="2"/>
            </w:tcBorders>
            <w:tcMar>
              <w:top w:type="dxa" w:w="100"/>
              <w:left w:type="dxa" w:w="140"/>
              <w:bottom w:type="dxa" w:w="100"/>
              <w:right w:type="dxa" w:w="140"/>
            </w:tcMar>
            <w:vAlign w:val="center"/>
          </w:tcPr>
          <w:p>
            <w:r>
              <w:rPr>
                <w:color w:val="1A1D29"/>
                <w:sz w:val="19"/>
                <w:szCs w:val="19"/>
              </w:rPr>
              <w:t xml:space="preserve">Backend framework</w:t>
            </w:r>
          </w:p>
        </w:tc>
        <w:tc>
          <w:tcPr>
            <w:tcW w:type="pct" w:w="2.2%"/>
            <w:tcBorders>
              <w:top w:val="single" w:color="D8DCE8" w:sz="2"/>
              <w:left w:val="single" w:color="D8DCE8" w:sz="2"/>
              <w:bottom w:val="single" w:color="D8DCE8" w:sz="2"/>
              <w:right w:val="single" w:color="D8DCE8" w:sz="2"/>
            </w:tcBorders>
            <w:tcMar>
              <w:top w:type="dxa" w:w="100"/>
              <w:left w:type="dxa" w:w="140"/>
              <w:bottom w:type="dxa" w:w="100"/>
              <w:right w:type="dxa" w:w="140"/>
            </w:tcMar>
            <w:vAlign w:val="center"/>
          </w:tcPr>
          <w:p>
            <w:r>
              <w:rPr>
                <w:color w:val="1A1D29"/>
                <w:sz w:val="19"/>
                <w:szCs w:val="19"/>
              </w:rPr>
              <w:t xml:space="preserve">NestJS (TypeScript)</w:t>
            </w:r>
          </w:p>
        </w:tc>
      </w:tr>
      <w:tr>
        <w:tc>
          <w:tcPr>
            <w:tcW w:type="pct" w:w="1%"/>
            <w:tcBorders>
              <w:top w:val="single" w:color="D8DCE8" w:sz="2"/>
              <w:left w:val="single" w:color="D8DCE8" w:sz="2"/>
              <w:bottom w:val="single" w:color="D8DCE8" w:sz="2"/>
              <w:right w:val="single" w:color="D8DCE8" w:sz="2"/>
            </w:tcBorders>
            <w:shd w:fill="F1F3FA" w:val="clear"/>
            <w:tcMar>
              <w:top w:type="dxa" w:w="100"/>
              <w:left w:type="dxa" w:w="140"/>
              <w:bottom w:type="dxa" w:w="100"/>
              <w:right w:type="dxa" w:w="140"/>
            </w:tcMar>
            <w:vAlign w:val="center"/>
          </w:tcPr>
          <w:p>
            <w:r>
              <w:rPr>
                <w:color w:val="1A1D29"/>
                <w:sz w:val="19"/>
                <w:szCs w:val="19"/>
              </w:rPr>
              <w:t xml:space="preserve">Bot integration</w:t>
            </w:r>
          </w:p>
        </w:tc>
        <w:tc>
          <w:tcPr>
            <w:tcW w:type="pct" w:w="2.2%"/>
            <w:tcBorders>
              <w:top w:val="single" w:color="D8DCE8" w:sz="2"/>
              <w:left w:val="single" w:color="D8DCE8" w:sz="2"/>
              <w:bottom w:val="single" w:color="D8DCE8" w:sz="2"/>
              <w:right w:val="single" w:color="D8DCE8" w:sz="2"/>
            </w:tcBorders>
            <w:shd w:fill="F1F3FA" w:val="clear"/>
            <w:tcMar>
              <w:top w:type="dxa" w:w="100"/>
              <w:left w:type="dxa" w:w="140"/>
              <w:bottom w:type="dxa" w:w="100"/>
              <w:right w:type="dxa" w:w="140"/>
            </w:tcMar>
            <w:vAlign w:val="center"/>
          </w:tcPr>
          <w:p>
            <w:r>
              <w:rPr>
                <w:color w:val="1A1D29"/>
                <w:sz w:val="19"/>
                <w:szCs w:val="19"/>
              </w:rPr>
              <w:t xml:space="preserve">Telegraf</w:t>
            </w:r>
          </w:p>
        </w:tc>
      </w:tr>
      <w:tr>
        <w:tc>
          <w:tcPr>
            <w:tcW w:type="pct" w:w="1%"/>
            <w:tcBorders>
              <w:top w:val="single" w:color="D8DCE8" w:sz="2"/>
              <w:left w:val="single" w:color="D8DCE8" w:sz="2"/>
              <w:bottom w:val="single" w:color="D8DCE8" w:sz="2"/>
              <w:right w:val="single" w:color="D8DCE8" w:sz="2"/>
            </w:tcBorders>
            <w:tcMar>
              <w:top w:type="dxa" w:w="100"/>
              <w:left w:type="dxa" w:w="140"/>
              <w:bottom w:type="dxa" w:w="100"/>
              <w:right w:type="dxa" w:w="140"/>
            </w:tcMar>
            <w:vAlign w:val="center"/>
          </w:tcPr>
          <w:p>
            <w:r>
              <w:rPr>
                <w:color w:val="1A1D29"/>
                <w:sz w:val="19"/>
                <w:szCs w:val="19"/>
              </w:rPr>
              <w:t xml:space="preserve">Database</w:t>
            </w:r>
          </w:p>
        </w:tc>
        <w:tc>
          <w:tcPr>
            <w:tcW w:type="pct" w:w="2.2%"/>
            <w:tcBorders>
              <w:top w:val="single" w:color="D8DCE8" w:sz="2"/>
              <w:left w:val="single" w:color="D8DCE8" w:sz="2"/>
              <w:bottom w:val="single" w:color="D8DCE8" w:sz="2"/>
              <w:right w:val="single" w:color="D8DCE8" w:sz="2"/>
            </w:tcBorders>
            <w:tcMar>
              <w:top w:type="dxa" w:w="100"/>
              <w:left w:type="dxa" w:w="140"/>
              <w:bottom w:type="dxa" w:w="100"/>
              <w:right w:type="dxa" w:w="140"/>
            </w:tcMar>
            <w:vAlign w:val="center"/>
          </w:tcPr>
          <w:p>
            <w:r>
              <w:rPr>
                <w:color w:val="1A1D29"/>
                <w:sz w:val="19"/>
                <w:szCs w:val="19"/>
              </w:rPr>
              <w:t xml:space="preserve">PostgreSQL</w:t>
            </w:r>
          </w:p>
        </w:tc>
      </w:tr>
      <w:tr>
        <w:tc>
          <w:tcPr>
            <w:tcW w:type="pct" w:w="1%"/>
            <w:tcBorders>
              <w:top w:val="single" w:color="D8DCE8" w:sz="2"/>
              <w:left w:val="single" w:color="D8DCE8" w:sz="2"/>
              <w:bottom w:val="single" w:color="D8DCE8" w:sz="2"/>
              <w:right w:val="single" w:color="D8DCE8" w:sz="2"/>
            </w:tcBorders>
            <w:shd w:fill="F1F3FA" w:val="clear"/>
            <w:tcMar>
              <w:top w:type="dxa" w:w="100"/>
              <w:left w:type="dxa" w:w="140"/>
              <w:bottom w:type="dxa" w:w="100"/>
              <w:right w:type="dxa" w:w="140"/>
            </w:tcMar>
            <w:vAlign w:val="center"/>
          </w:tcPr>
          <w:p>
            <w:r>
              <w:rPr>
                <w:color w:val="1A1D29"/>
                <w:sz w:val="19"/>
                <w:szCs w:val="19"/>
              </w:rPr>
              <w:t xml:space="preserve">ORM</w:t>
            </w:r>
          </w:p>
        </w:tc>
        <w:tc>
          <w:tcPr>
            <w:tcW w:type="pct" w:w="2.2%"/>
            <w:tcBorders>
              <w:top w:val="single" w:color="D8DCE8" w:sz="2"/>
              <w:left w:val="single" w:color="D8DCE8" w:sz="2"/>
              <w:bottom w:val="single" w:color="D8DCE8" w:sz="2"/>
              <w:right w:val="single" w:color="D8DCE8" w:sz="2"/>
            </w:tcBorders>
            <w:shd w:fill="F1F3FA" w:val="clear"/>
            <w:tcMar>
              <w:top w:type="dxa" w:w="100"/>
              <w:left w:type="dxa" w:w="140"/>
              <w:bottom w:type="dxa" w:w="100"/>
              <w:right w:type="dxa" w:w="140"/>
            </w:tcMar>
            <w:vAlign w:val="center"/>
          </w:tcPr>
          <w:p>
            <w:r>
              <w:rPr>
                <w:color w:val="1A1D29"/>
                <w:sz w:val="19"/>
                <w:szCs w:val="19"/>
              </w:rPr>
              <w:t xml:space="preserve">Prisma</w:t>
            </w:r>
          </w:p>
        </w:tc>
      </w:tr>
      <w:tr>
        <w:tc>
          <w:tcPr>
            <w:tcW w:type="pct" w:w="1%"/>
            <w:tcBorders>
              <w:top w:val="single" w:color="D8DCE8" w:sz="2"/>
              <w:left w:val="single" w:color="D8DCE8" w:sz="2"/>
              <w:bottom w:val="single" w:color="D8DCE8" w:sz="2"/>
              <w:right w:val="single" w:color="D8DCE8" w:sz="2"/>
            </w:tcBorders>
            <w:tcMar>
              <w:top w:type="dxa" w:w="100"/>
              <w:left w:type="dxa" w:w="140"/>
              <w:bottom w:type="dxa" w:w="100"/>
              <w:right w:type="dxa" w:w="140"/>
            </w:tcMar>
            <w:vAlign w:val="center"/>
          </w:tcPr>
          <w:p>
            <w:r>
              <w:rPr>
                <w:color w:val="1A1D29"/>
                <w:sz w:val="19"/>
                <w:szCs w:val="19"/>
              </w:rPr>
              <w:t xml:space="preserve">Cache / queue</w:t>
            </w:r>
          </w:p>
        </w:tc>
        <w:tc>
          <w:tcPr>
            <w:tcW w:type="pct" w:w="2.2%"/>
            <w:tcBorders>
              <w:top w:val="single" w:color="D8DCE8" w:sz="2"/>
              <w:left w:val="single" w:color="D8DCE8" w:sz="2"/>
              <w:bottom w:val="single" w:color="D8DCE8" w:sz="2"/>
              <w:right w:val="single" w:color="D8DCE8" w:sz="2"/>
            </w:tcBorders>
            <w:tcMar>
              <w:top w:type="dxa" w:w="100"/>
              <w:left w:type="dxa" w:w="140"/>
              <w:bottom w:type="dxa" w:w="100"/>
              <w:right w:type="dxa" w:w="140"/>
            </w:tcMar>
            <w:vAlign w:val="center"/>
          </w:tcPr>
          <w:p>
            <w:r>
              <w:rPr>
                <w:color w:val="1A1D29"/>
                <w:sz w:val="19"/>
                <w:szCs w:val="19"/>
              </w:rPr>
              <w:t xml:space="preserve">Redis</w:t>
            </w:r>
          </w:p>
        </w:tc>
      </w:tr>
      <w:tr>
        <w:tc>
          <w:tcPr>
            <w:tcW w:type="pct" w:w="1%"/>
            <w:tcBorders>
              <w:top w:val="single" w:color="D8DCE8" w:sz="2"/>
              <w:left w:val="single" w:color="D8DCE8" w:sz="2"/>
              <w:bottom w:val="single" w:color="D8DCE8" w:sz="2"/>
              <w:right w:val="single" w:color="D8DCE8" w:sz="2"/>
            </w:tcBorders>
            <w:shd w:fill="F1F3FA" w:val="clear"/>
            <w:tcMar>
              <w:top w:type="dxa" w:w="100"/>
              <w:left w:type="dxa" w:w="140"/>
              <w:bottom w:type="dxa" w:w="100"/>
              <w:right w:type="dxa" w:w="140"/>
            </w:tcMar>
            <w:vAlign w:val="center"/>
          </w:tcPr>
          <w:p>
            <w:r>
              <w:rPr>
                <w:color w:val="1A1D29"/>
                <w:sz w:val="19"/>
                <w:szCs w:val="19"/>
              </w:rPr>
              <w:t xml:space="preserve">Admin frontend</w:t>
            </w:r>
          </w:p>
        </w:tc>
        <w:tc>
          <w:tcPr>
            <w:tcW w:type="pct" w:w="2.2%"/>
            <w:tcBorders>
              <w:top w:val="single" w:color="D8DCE8" w:sz="2"/>
              <w:left w:val="single" w:color="D8DCE8" w:sz="2"/>
              <w:bottom w:val="single" w:color="D8DCE8" w:sz="2"/>
              <w:right w:val="single" w:color="D8DCE8" w:sz="2"/>
            </w:tcBorders>
            <w:shd w:fill="F1F3FA" w:val="clear"/>
            <w:tcMar>
              <w:top w:type="dxa" w:w="100"/>
              <w:left w:type="dxa" w:w="140"/>
              <w:bottom w:type="dxa" w:w="100"/>
              <w:right w:type="dxa" w:w="140"/>
            </w:tcMar>
            <w:vAlign w:val="center"/>
          </w:tcPr>
          <w:p>
            <w:r>
              <w:rPr>
                <w:color w:val="1A1D29"/>
                <w:sz w:val="19"/>
                <w:szCs w:val="19"/>
              </w:rPr>
              <w:t xml:space="preserve">Next.js + Tailwind CSS</w:t>
            </w:r>
          </w:p>
        </w:tc>
      </w:tr>
      <w:tr>
        <w:tc>
          <w:tcPr>
            <w:tcW w:type="pct" w:w="1%"/>
            <w:tcBorders>
              <w:top w:val="single" w:color="D8DCE8" w:sz="2"/>
              <w:left w:val="single" w:color="D8DCE8" w:sz="2"/>
              <w:bottom w:val="single" w:color="D8DCE8" w:sz="2"/>
              <w:right w:val="single" w:color="D8DCE8" w:sz="2"/>
            </w:tcBorders>
            <w:tcMar>
              <w:top w:type="dxa" w:w="100"/>
              <w:left w:type="dxa" w:w="140"/>
              <w:bottom w:type="dxa" w:w="100"/>
              <w:right w:type="dxa" w:w="140"/>
            </w:tcMar>
            <w:vAlign w:val="center"/>
          </w:tcPr>
          <w:p>
            <w:r>
              <w:rPr>
                <w:color w:val="1A1D29"/>
                <w:sz w:val="19"/>
                <w:szCs w:val="19"/>
              </w:rPr>
              <w:t xml:space="preserve">Deployment</w:t>
            </w:r>
          </w:p>
        </w:tc>
        <w:tc>
          <w:tcPr>
            <w:tcW w:type="pct" w:w="2.2%"/>
            <w:tcBorders>
              <w:top w:val="single" w:color="D8DCE8" w:sz="2"/>
              <w:left w:val="single" w:color="D8DCE8" w:sz="2"/>
              <w:bottom w:val="single" w:color="D8DCE8" w:sz="2"/>
              <w:right w:val="single" w:color="D8DCE8" w:sz="2"/>
            </w:tcBorders>
            <w:tcMar>
              <w:top w:type="dxa" w:w="100"/>
              <w:left w:type="dxa" w:w="140"/>
              <w:bottom w:type="dxa" w:w="100"/>
              <w:right w:type="dxa" w:w="140"/>
            </w:tcMar>
            <w:vAlign w:val="center"/>
          </w:tcPr>
          <w:p>
            <w:r>
              <w:rPr>
                <w:color w:val="1A1D29"/>
                <w:sz w:val="19"/>
                <w:szCs w:val="19"/>
              </w:rPr>
              <w:t xml:space="preserve">Docker</w:t>
            </w:r>
          </w:p>
        </w:tc>
      </w:tr>
    </w:tbl>
    <w:p>
      <w:pPr>
        <w:pStyle w:val="Heading2"/>
        <w:spacing w:after="140" w:before="320"/>
        <w:outlineLvl w:val="1"/>
      </w:pPr>
      <w:r>
        <w:rPr>
          <w:b/>
          <w:bCs/>
        </w:rPr>
        <w:t xml:space="preserve">7.2 Non-Functional Requirements</w:t>
      </w:r>
    </w:p>
    <w:p>
      <w:pPr>
        <w:pStyle w:val="ListParagraph"/>
        <w:numPr>
          <w:ilvl w:val="0"/>
          <w:numId w:val="2"/>
        </w:numPr>
        <w:spacing w:after="70" w:line="268"/>
      </w:pPr>
      <w:r>
        <w:rPr>
          <w:sz w:val="21"/>
          <w:szCs w:val="21"/>
        </w:rPr>
        <w:t xml:space="preserve"/>
      </w:r>
      <w:r>
        <w:rPr>
          <w:b/>
          <w:bCs/>
          <w:color w:val="1A1D29"/>
          <w:sz w:val="21"/>
          <w:szCs w:val="21"/>
        </w:rPr>
        <w:t xml:space="preserve">Scalability</w:t>
      </w:r>
      <w:r>
        <w:rPr>
          <w:color w:val="1A1D29"/>
          <w:sz w:val="21"/>
          <w:szCs w:val="21"/>
        </w:rPr>
        <w:t xml:space="preserve"> — Architecture must scale to 100,000+ registered users without redesign</w:t>
      </w:r>
    </w:p>
    <w:p>
      <w:pPr>
        <w:pStyle w:val="ListParagraph"/>
        <w:numPr>
          <w:ilvl w:val="0"/>
          <w:numId w:val="2"/>
        </w:numPr>
        <w:spacing w:after="70" w:line="268"/>
      </w:pPr>
      <w:r>
        <w:rPr>
          <w:sz w:val="21"/>
          <w:szCs w:val="21"/>
        </w:rPr>
        <w:t xml:space="preserve"/>
      </w:r>
      <w:r>
        <w:rPr>
          <w:b/>
          <w:bCs/>
          <w:color w:val="1A1D29"/>
          <w:sz w:val="21"/>
          <w:szCs w:val="21"/>
        </w:rPr>
        <w:t xml:space="preserve">Security</w:t>
      </w:r>
      <w:r>
        <w:rPr>
          <w:color w:val="1A1D29"/>
          <w:sz w:val="21"/>
          <w:szCs w:val="21"/>
        </w:rPr>
        <w:t xml:space="preserve"> — JWT auth, role-based access control, input validation, and rate limiting on public bot/API endpoints</w:t>
      </w:r>
    </w:p>
    <w:p>
      <w:pPr>
        <w:pStyle w:val="ListParagraph"/>
        <w:numPr>
          <w:ilvl w:val="0"/>
          <w:numId w:val="2"/>
        </w:numPr>
        <w:spacing w:after="70" w:line="268"/>
      </w:pPr>
      <w:r>
        <w:rPr>
          <w:sz w:val="21"/>
          <w:szCs w:val="21"/>
        </w:rPr>
        <w:t xml:space="preserve"/>
      </w:r>
      <w:r>
        <w:rPr>
          <w:b/>
          <w:bCs/>
          <w:color w:val="1A1D29"/>
          <w:sz w:val="21"/>
          <w:szCs w:val="21"/>
        </w:rPr>
        <w:t xml:space="preserve">Deployment</w:t>
      </w:r>
      <w:r>
        <w:rPr>
          <w:color w:val="1A1D29"/>
          <w:sz w:val="21"/>
          <w:szCs w:val="21"/>
        </w:rPr>
        <w:t xml:space="preserve"> — Fully containerized services with reproducible Docker deployment</w:t>
      </w:r>
    </w:p>
    <w:p>
      <w:pPr>
        <w:pStyle w:val="ListParagraph"/>
        <w:numPr>
          <w:ilvl w:val="0"/>
          <w:numId w:val="2"/>
        </w:numPr>
        <w:spacing w:after="70" w:line="268"/>
      </w:pPr>
      <w:r>
        <w:rPr>
          <w:sz w:val="21"/>
          <w:szCs w:val="21"/>
        </w:rPr>
        <w:t xml:space="preserve"/>
      </w:r>
      <w:r>
        <w:rPr>
          <w:b/>
          <w:bCs/>
          <w:color w:val="1A1D29"/>
          <w:sz w:val="21"/>
          <w:szCs w:val="21"/>
        </w:rPr>
        <w:t xml:space="preserve">API documentation</w:t>
      </w:r>
      <w:r>
        <w:rPr>
          <w:color w:val="1A1D29"/>
          <w:sz w:val="21"/>
          <w:szCs w:val="21"/>
        </w:rPr>
        <w:t xml:space="preserve"> — REST API documented via Swagger/OpenAPI for all backend endpoints</w:t>
      </w:r>
    </w:p>
    <w:p>
      <w:pPr>
        <w:pStyle w:val="ListParagraph"/>
        <w:numPr>
          <w:ilvl w:val="0"/>
          <w:numId w:val="2"/>
        </w:numPr>
        <w:spacing w:after="70" w:line="268"/>
      </w:pPr>
      <w:r>
        <w:rPr>
          <w:sz w:val="21"/>
          <w:szCs w:val="21"/>
        </w:rPr>
        <w:t xml:space="preserve"/>
      </w:r>
      <w:r>
        <w:rPr>
          <w:b/>
          <w:bCs/>
          <w:color w:val="1A1D29"/>
          <w:sz w:val="21"/>
          <w:szCs w:val="21"/>
        </w:rPr>
        <w:t xml:space="preserve">Observability</w:t>
      </w:r>
      <w:r>
        <w:rPr>
          <w:color w:val="1A1D29"/>
          <w:sz w:val="21"/>
          <w:szCs w:val="21"/>
        </w:rPr>
        <w:t xml:space="preserve"> — Structured application logging and uptime/error monitoring across bot, API, and dashboard</w:t>
      </w:r>
    </w:p>
    <w:sectPr>
      <w:headerReference w:type="default" r:id="rId7"/>
      <w:footerReference w:type="default" r:id="rId8"/>
      <w:pgSz w:w="11906" w:h="16838"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6"/>
        <w:szCs w:val="16"/>
      </w:rPr>
      <w:t xml:space="preserve">Page </w:t>
    </w:r>
    <w:r>
      <w:rPr>
        <w:color w:val="6B7280"/>
        <w:sz w:val="16"/>
        <w:szCs w:val="16"/>
      </w:rPr>
      <w:fldChar w:fldCharType="begin"/>
      <w:instrText xml:space="preserve">PAGE</w:instrText>
      <w:fldChar w:fldCharType="separate"/>
      <w:fldChar w:fldCharType="end"/>
    </w:r>
    <w:r>
      <w:rPr>
        <w:color w:val="6B7280"/>
        <w:sz w:val="16"/>
        <w:szCs w:val="16"/>
      </w:rPr>
      <w:t xml:space="preserve"> of </w:t>
    </w:r>
    <w:r>
      <w:rPr>
        <w:color w:val="6B72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DCE8" w:sz="4" w:space="4"/>
      </w:pBdr>
      <w:tabs>
        <w:tab w:val="right" w:pos="9026"/>
      </w:tabs>
    </w:pPr>
    <w:r>
      <w:rPr>
        <w:color w:val="6B7280"/>
        <w:sz w:val="16"/>
        <w:szCs w:val="16"/>
      </w:rPr>
      <w:t xml:space="preserve">Telegram Referral &amp; Community Growth Bot</w:t>
    </w:r>
    <w:r>
      <w:rPr>
        <w:color w:val="6B7280"/>
        <w:sz w:val="16"/>
        <w:szCs w:val="16"/>
      </w:rPr>
      <w:t xml:space="preserve">	PRD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20"/>
      </w:pPr>
    </w:lvl>
    <w:lvl w:ilvl="1" w15:tentative="1">
      <w:start w:val="1"/>
      <w:numFmt w:val="bullet"/>
      <w:lvlText w:val="–"/>
      <w:lvlJc w:val="left"/>
      <w:pPr>
        <w:ind w:left="62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D29"/>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3B5BDB" w:sz="8" w:space="4"/>
      </w:pBdr>
      <w:spacing w:after="160" w:before="400"/>
    </w:pPr>
    <w:rPr>
      <w:rFonts w:ascii="Calibri" w:cs="Calibri" w:eastAsia="Calibri" w:hAnsi="Calibri"/>
      <w:b/>
      <w:bCs/>
      <w:color w:val="26408A"/>
      <w:sz w:val="32"/>
      <w:szCs w:val="32"/>
    </w:rPr>
  </w:style>
  <w:style w:type="paragraph" w:styleId="Heading2">
    <w:name w:val="Heading 2"/>
    <w:basedOn w:val="Normal"/>
    <w:next w:val="Normal"/>
    <w:qFormat/>
    <w:pPr>
      <w:spacing w:after="120" w:before="260"/>
    </w:pPr>
    <w:rPr>
      <w:rFonts w:ascii="Calibri" w:cs="Calibri" w:eastAsia="Calibri" w:hAnsi="Calibri"/>
      <w:b/>
      <w:bCs/>
      <w:color w:val="1A1D29"/>
      <w:sz w:val="25"/>
      <w:szCs w:val="25"/>
    </w:rPr>
  </w:style>
  <w:style w:type="paragraph" w:styleId="Heading3">
    <w:name w:val="Heading 3"/>
    <w:basedOn w:val="Normal"/>
    <w:next w:val="Normal"/>
    <w:qFormat/>
    <w:pPr>
      <w:spacing w:after="100" w:before="200"/>
    </w:pPr>
    <w:rPr>
      <w:rFonts w:ascii="Calibri" w:cs="Calibri" w:eastAsia="Calibri" w:hAnsi="Calibri"/>
      <w:b/>
      <w:bCs/>
      <w:color w:val="26408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2026-07-17T22:00:09.793Z</dcterms:created>
  <dcterms:modified xsi:type="dcterms:W3CDTF">2026-07-17T22:00:09.793Z</dcterms:modified>
</cp:coreProperties>
</file>

<file path=docProps/custom.xml><?xml version="1.0" encoding="utf-8"?>
<Properties xmlns="http://schemas.openxmlformats.org/officeDocument/2006/custom-properties" xmlns:vt="http://schemas.openxmlformats.org/officeDocument/2006/docPropsVTypes"/>
</file>