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人类叙事的进化与危机：从虚构本能到真实性重构</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ff"/>
          <w:i w:val="off"/>
        </w:rPr>
        <w:t>人类叙事作为连接过去与未来的基本桥梁，其本质与进化历程一直是理解人类文明的关键视角。从智人与尼安德特人的生理差异到现代社会的信息爆炸，叙事始终在人类进化中扮演着核心角色，但也面临着前所未有的危机。本文将从叙事的进化基础、历史叙事的局限性、现代社会的叙事困境以及未来叙事的跃升路径四个维度，深入探讨人类叙事的本质、危机与进化方向。</w:t>
      </w:r>
      <w:bookmarkEnd w:id="1002"/>
    </w:p>
    <w:p>
      <w:pPr>
        <w:pageBreakBefore w:val="off"/>
        <w:tabs/>
        <w:wordWrap w:val="on"/>
        <w:spacing w:after="0" w:before="160"/>
        <w:ind w:left="0" w:right="0"/>
        <w:jc w:val="left"/>
        <w:textAlignment w:val="auto"/>
        <w:rPr>
          <w:sz w:val="28"/>
        </w:rPr>
      </w:pPr>
      <w:bookmarkStart w:id="1003" w:name=""/>
      <w:r>
        <w:rPr>
          <w:rFonts w:ascii="宋体" w:cs="宋体" w:eastAsia="宋体" w:hAnsi="宋体"/>
          <w:sz w:val="28"/>
          <w:spacing w:val="0"/>
          <w:b w:val="on"/>
          <w:i w:val="off"/>
        </w:rPr>
        <w:t>一、智人叙事进化的生理基础：从基因突变到文化跃迁</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智人（Homo sapiens）之所以能够统治地球，关键在于其拥有创造和相信虚构故事的能力</w:t>
      </w:r>
      <w:r>
        <w:rPr>
          <w:rFonts w:ascii="宋体" w:cs="宋体" w:eastAsia="宋体" w:hAnsi="宋体"/>
          <w:sz w:val="24"/>
          <w:spacing w:val="0"/>
          <w:b w:val="off"/>
          <w:i w:val="off"/>
        </w:rPr>
        <w:t>。这种能力使智人能够进行大规模协作，而其他物种如尼安德特人则缺乏这种能力。从生理结构看，智人与尼安德特人的差异主要体现在大脑结构和语言能力上。</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首先，</w:t>
      </w:r>
      <w:r>
        <w:rPr>
          <w:rFonts w:ascii="宋体" w:cs="宋体" w:eastAsia="宋体" w:hAnsi="宋体"/>
          <w:sz w:val="24"/>
          <w:spacing w:val="0"/>
          <w:b w:val="on"/>
          <w:i w:val="off"/>
        </w:rPr>
        <w:t>智人额叶皮层的进化优势</w:t>
      </w:r>
      <w:r>
        <w:rPr>
          <w:rFonts w:ascii="宋体" w:cs="宋体" w:eastAsia="宋体" w:hAnsi="宋体"/>
          <w:sz w:val="24"/>
          <w:spacing w:val="0"/>
          <w:b w:val="off"/>
          <w:i w:val="off"/>
        </w:rPr>
        <w:t>是虚构叙事能力的生理基础。尼安德特人虽然拥有较大的脑容量（1,400-1,900 cm³），但其额叶皮层发育不如智人完善。额叶皮层负责计划、抽象思维和复杂认知功能，是虚构故事构建与协作的关键区域。研究显示，智人额叶皮层的神经连接更为复杂，支持情感状态和思维链的持续，这为虚构叙事所需的抽象整合提供了生理基础。</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其次，</w:t>
      </w:r>
      <w:r>
        <w:rPr>
          <w:rFonts w:ascii="宋体" w:cs="宋体" w:eastAsia="宋体" w:hAnsi="宋体"/>
          <w:sz w:val="24"/>
          <w:spacing w:val="0"/>
          <w:b w:val="on"/>
          <w:i w:val="off"/>
        </w:rPr>
        <w:t>语言能力的基因差异</w:t>
      </w:r>
      <w:r>
        <w:rPr>
          <w:rFonts w:ascii="宋体" w:cs="宋体" w:eastAsia="宋体" w:hAnsi="宋体"/>
          <w:sz w:val="24"/>
          <w:spacing w:val="0"/>
          <w:b w:val="off"/>
          <w:i w:val="off"/>
        </w:rPr>
        <w:t>也是关键因素。智人携带的FOXP2基因版本（"语言基因"）在进化过程中发生了突变，赋予其复杂语法和抽象表达能力。相比之下，尼安德特人的FOXP2基因版本与智人存在差异，其语言可能仅限于描述现实和实用信息。2012年的研究表明，现代智人FOXP2基因的突变与语言复杂性直接相关，而尼安德特人由于缺乏类似突变，其语言能力可能无法支持虚构叙事的构建。</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最后，</w:t>
      </w:r>
      <w:r>
        <w:rPr>
          <w:rFonts w:ascii="宋体" w:cs="宋体" w:eastAsia="宋体" w:hAnsi="宋体"/>
          <w:sz w:val="24"/>
          <w:spacing w:val="0"/>
          <w:b w:val="on"/>
          <w:i w:val="off"/>
        </w:rPr>
        <w:t>社会需求的进化压力</w:t>
      </w:r>
      <w:r>
        <w:rPr>
          <w:rFonts w:ascii="宋体" w:cs="宋体" w:eastAsia="宋体" w:hAnsi="宋体"/>
          <w:sz w:val="24"/>
          <w:spacing w:val="0"/>
          <w:b w:val="off"/>
          <w:i w:val="off"/>
        </w:rPr>
        <w:t>促使智人发展出虚构叙事能力。智人通过自我驯化扩大了社交圈，需要虚构故事（如部落、国家、法律、金钱等）维系大规模协作。尼安德特人则依赖小群体（约25人）的面对面交流，无需复杂协作机制。这种社会结构的差异，使得智人能够通过虚构叙事构建"想象的共同体"，进而形成更强大的社会凝聚力。</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n"/>
          <w:i w:val="off"/>
        </w:rPr>
        <w:t>正是这种生理结构与社会需求的协同进化，使智人通过虚构叙事能力实现了从生物进化到文化跃迁的跨越</w:t>
      </w:r>
      <w:r>
        <w:rPr>
          <w:rFonts w:ascii="宋体" w:cs="宋体" w:eastAsia="宋体" w:hAnsi="宋体"/>
          <w:sz w:val="24"/>
          <w:spacing w:val="0"/>
          <w:b w:val="off"/>
          <w:i w:val="off"/>
        </w:rPr>
        <w:t>，最终成为地球的主宰。</w:t>
      </w:r>
      <w:bookmarkEnd w:id="1008"/>
    </w:p>
    <w:p>
      <w:pPr>
        <w:pageBreakBefore w:val="off"/>
        <w:tabs/>
        <w:wordWrap w:val="on"/>
        <w:spacing w:after="0" w:before="160"/>
        <w:ind w:left="0" w:right="0"/>
        <w:jc w:val="left"/>
        <w:textAlignment w:val="auto"/>
        <w:rPr>
          <w:sz w:val="28"/>
        </w:rPr>
      </w:pPr>
      <w:bookmarkStart w:id="1009" w:name=""/>
      <w:r>
        <w:rPr>
          <w:rFonts w:ascii="宋体" w:cs="宋体" w:eastAsia="宋体" w:hAnsi="宋体"/>
          <w:sz w:val="28"/>
          <w:spacing w:val="0"/>
          <w:b w:val="on"/>
          <w:i w:val="off"/>
        </w:rPr>
        <w:t>二、传统历史叙事的局限性：为尊者讳与宏大叙事的虚幻</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ff"/>
          <w:i w:val="off"/>
        </w:rPr>
        <w:t>传统历史叙事虽然为人类文明提供了连续性框架，但也存在明显的局限性，主要体现在"为尊者讳"的叙事伦理和后现代主义批判的宏大叙事两个方面。</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n"/>
          <w:i w:val="off"/>
        </w:rPr>
        <w:t>"为尊者讳"作为史学伦理，本质是将历史服务于当权者意识形态</w:t>
      </w:r>
      <w:r>
        <w:rPr>
          <w:rFonts w:ascii="宋体" w:cs="宋体" w:eastAsia="宋体" w:hAnsi="宋体"/>
          <w:sz w:val="24"/>
          <w:spacing w:val="0"/>
          <w:b w:val="off"/>
          <w:i w:val="off"/>
        </w:rPr>
        <w:t>。这种叙事传统在中国古代史书编纂中表现尤为明显。《春秋》中记载君王过失时往往采用隐晦方式，如《春秋·成公元年》记载"卫州吁弑其君完"，而鲁隐公同样被大臣公子翚谋杀，《春秋》却仅书"公薨"，仿佛隐公是自然死亡。这种叙事方式将历史服务于"尊尊亲亲"的伦理观念，通过语言选择实现对历史真相的某种形式的保留，但同时也系统性扭曲了历史记录。</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ff"/>
          <w:i w:val="off"/>
        </w:rPr>
        <w:t>在西方历史叙事中，类似现象也普遍存在。例如，民进党当局在重构日本殖民统治台湾的历史时，将"殖民化"洗白为"现代化"，淡化了殖民压迫与社会不平等问题，转而突出日本殖民统治时期所谓"现代化建设"、"制度引入"与"秩序治理"。这种叙事转向反映了当代政治对过去历史的介入与操控，使历史沦为形塑岛内政治的工具。</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n"/>
          <w:i w:val="off"/>
        </w:rPr>
        <w:t>后现代主义对宏大叙事的批判，则从哲学层面揭示了传统历史叙事的建构性本质</w:t>
      </w:r>
      <w:r>
        <w:rPr>
          <w:rFonts w:ascii="宋体" w:cs="宋体" w:eastAsia="宋体" w:hAnsi="宋体"/>
          <w:sz w:val="24"/>
          <w:spacing w:val="0"/>
          <w:b w:val="off"/>
          <w:i w:val="off"/>
        </w:rPr>
        <w:t>。法国哲学家让-弗朗索瓦·利奥塔在《后现代状况》中指出，后现代主义的核心特征是对宏大叙事（如启蒙进步观、马克思主义历史哲学）普遍真理的质疑。他认为，这些宏大叙事本质上是"恐怖主义"的，通过预设历史终极目标来构建社会合法性，但其合法性却往往依赖于暴力和压制多元声音。</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ff"/>
          <w:i w:val="off"/>
        </w:rPr>
        <w:t>德国哲学家韩炳哲在《叙事的危机》中进一步指出，传统叙事通过赋予生命意义、支点和方向来安置人于存在之中，将"在世存在"变成"在家存在"。然而，当生命本身即讲述时，我们不会对故事化和叙事予以关注，反而可能陷入"叙事真空"——既无意义又无方向的叙事状态。</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ff"/>
          <w:i w:val="off"/>
        </w:rPr>
        <w:t>这些批判共同揭示了历史叙事的主观性与建构性：</w:t>
      </w:r>
      <w:r>
        <w:rPr>
          <w:rFonts w:ascii="宋体" w:cs="宋体" w:eastAsia="宋体" w:hAnsi="宋体"/>
          <w:sz w:val="24"/>
          <w:spacing w:val="0"/>
          <w:b w:val="on"/>
          <w:i w:val="off"/>
        </w:rPr>
        <w:t>传统叙事往往服务于特定权威，通过选择性记录和语言修饰来塑造历史真相；后现代叙事则质疑任何单一权威叙事的普遍性，强调多元视角的并存</w:t>
      </w:r>
      <w:r>
        <w:rPr>
          <w:rFonts w:ascii="宋体" w:cs="宋体" w:eastAsia="宋体" w:hAnsi="宋体"/>
          <w:sz w:val="24"/>
          <w:spacing w:val="0"/>
          <w:b w:val="off"/>
          <w:i w:val="off"/>
        </w:rPr>
        <w:t>。这种局限性导致历史往往呈现不真实的一面，需要结合实物证据进一步印证。</w:t>
      </w:r>
      <w:bookmarkEnd w:id="1015"/>
    </w:p>
    <w:p>
      <w:pPr>
        <w:pageBreakBefore w:val="off"/>
        <w:tabs/>
        <w:wordWrap w:val="on"/>
        <w:spacing w:after="0" w:before="160"/>
        <w:ind w:left="0" w:right="0"/>
        <w:jc w:val="left"/>
        <w:textAlignment w:val="auto"/>
        <w:rPr>
          <w:sz w:val="28"/>
        </w:rPr>
      </w:pPr>
      <w:bookmarkStart w:id="1016" w:name=""/>
      <w:r>
        <w:rPr>
          <w:rFonts w:ascii="宋体" w:cs="宋体" w:eastAsia="宋体" w:hAnsi="宋体"/>
          <w:sz w:val="28"/>
          <w:spacing w:val="0"/>
          <w:b w:val="on"/>
          <w:i w:val="off"/>
        </w:rPr>
        <w:t>三、现代社会的叙事困境：信息爆炸、政治正确与真实性危机</w:t>
      </w:r>
      <w:bookmarkEnd w:id="1016"/>
    </w:p>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ff"/>
          <w:i w:val="off"/>
        </w:rPr>
        <w:t>现代社会的叙事环境已发生根本性变化，信息爆炸、政治正确和算法推荐共同构成了叙事可信度的新危机。</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n"/>
          <w:i w:val="off"/>
        </w:rPr>
        <w:t>信息爆炸导致叙事碎片化与真实性流失</w:t>
      </w:r>
      <w:r>
        <w:rPr>
          <w:rFonts w:ascii="宋体" w:cs="宋体" w:eastAsia="宋体" w:hAnsi="宋体"/>
          <w:sz w:val="24"/>
          <w:spacing w:val="0"/>
          <w:b w:val="off"/>
          <w:i w:val="off"/>
        </w:rPr>
        <w:t>。社交媒体平台和搜索引擎的算法推荐机制本质上是争议性内容的放大器，它们将用户注意力聚焦于冲突点，却忽视了信息的真实性验证。例如，2024年6月公安机关查处的江西南昌某MCN机构案例显示，该机构构建了一条全自动谣言"生产线"，通过AI工具生成虚构内容并借助自动化发布软件批量上传，最高峰时单日可生成4000至7000篇谣言。这种"垃圾进、垃圾出"的机制，使信息传播从单向输出转向网状传播，用户生活在高度同质化的"信息回音室"中，对不同观点缺乏反思，对现实缺乏真实理解。</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n"/>
          <w:i w:val="off"/>
        </w:rPr>
        <w:t>政治正确则通过语言规范与价值观过滤扭曲叙事内容</w:t>
      </w:r>
      <w:r>
        <w:rPr>
          <w:rFonts w:ascii="宋体" w:cs="宋体" w:eastAsia="宋体" w:hAnsi="宋体"/>
          <w:sz w:val="24"/>
          <w:spacing w:val="0"/>
          <w:b w:val="off"/>
          <w:i w:val="off"/>
        </w:rPr>
        <w:t>。兰斯·莫罗在《改写历史以服务"政治正确"》一文中指出，"完续主义"已成为21世纪的生活方式，是一种修订历史、避开不合时宜隐射的工具。它导致一种"对现实的普遍漠视"，使历史叙事成为服务于当代政治目的的工具。例如，在西方舆论场中，关于二战历史的叙事分歧已沦为地缘政治对抗的工具，美欧势力试图抹杀苏联在战胜纳粹德国过程中的重大作用和巨大牺牲，而日本右翼势力则始终无法正视对外侵略历史，屡屡试图为当年的军国主义侵略行径"翻案"。</w:t>
      </w:r>
      <w:bookmarkEnd w:id="1019"/>
    </w:p>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n"/>
          <w:i w:val="off"/>
        </w:rPr>
        <w:t>技术工具的双刃剑效应</w:t>
      </w:r>
      <w:r>
        <w:rPr>
          <w:rFonts w:ascii="宋体" w:cs="宋体" w:eastAsia="宋体" w:hAnsi="宋体"/>
          <w:sz w:val="24"/>
          <w:spacing w:val="0"/>
          <w:b w:val="off"/>
          <w:i w:val="off"/>
        </w:rPr>
        <w:t>也加剧了叙事的可信度危机。一方面，AI生成技术使谣言生产门槛大幅降低，从"人工手搓"转变为"一键生成"，传统谣言生产模式高度依赖人工操作，而AI工具只需简单指令即可自动生成结构完整、逻辑自洽的谣言。另一方面，AI检测技术（如BERT和RobertA模型）虽能以98%的准确率检测AI生成新闻，但对"政治正确"或"性别叙事"等主观性叙事的干预能力有限，难以应对意识形态主导的叙事扭曲。</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n"/>
          <w:i w:val="off"/>
        </w:rPr>
        <w:t>这些现象共同导致了历史的不可信性</w:t>
      </w:r>
      <w:r>
        <w:rPr>
          <w:rFonts w:ascii="宋体" w:cs="宋体" w:eastAsia="宋体" w:hAnsi="宋体"/>
          <w:sz w:val="24"/>
          <w:spacing w:val="0"/>
          <w:b w:val="off"/>
          <w:i w:val="off"/>
        </w:rPr>
        <w:t>：信息爆炸使虚假叙事泛滥，政治正确使历史被选择性重构，技术工具则可能被权力集团用于巩固其叙事霸权。这种情况下，如何在保持叙事目的性的同时提高其真实性，成为现代社会面临的重大挑战。</w:t>
      </w:r>
      <w:bookmarkEnd w:id="1021"/>
    </w:p>
    <w:p>
      <w:pPr>
        <w:pageBreakBefore w:val="off"/>
        <w:tabs/>
        <w:wordWrap w:val="on"/>
        <w:spacing w:after="0" w:before="160"/>
        <w:ind w:left="0" w:right="0"/>
        <w:jc w:val="left"/>
        <w:textAlignment w:val="auto"/>
        <w:rPr>
          <w:sz w:val="28"/>
        </w:rPr>
      </w:pPr>
      <w:bookmarkStart w:id="1022" w:name=""/>
      <w:r>
        <w:rPr>
          <w:rFonts w:ascii="宋体" w:cs="宋体" w:eastAsia="宋体" w:hAnsi="宋体"/>
          <w:sz w:val="28"/>
          <w:spacing w:val="0"/>
          <w:b w:val="on"/>
          <w:i w:val="off"/>
        </w:rPr>
        <w:t>四、叙事跃升的路径与方向：技术赋能与多元视角的融合</w:t>
      </w:r>
      <w:bookmarkEnd w:id="1022"/>
    </w:p>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ff"/>
          <w:i w:val="off"/>
        </w:rPr>
        <w:t>面对现代社会的叙事困境，我们需要探索叙事跃升的路径与方向，通过技术创新与叙事方法论的革新，构建更真实、更互动、更具包容性的叙事体系。</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n"/>
          <w:i w:val="off"/>
        </w:rPr>
        <w:t>区块链技术为历史叙事的透明化与不可篡改性提供了新可能</w:t>
      </w:r>
      <w:r>
        <w:rPr>
          <w:rFonts w:ascii="宋体" w:cs="宋体" w:eastAsia="宋体" w:hAnsi="宋体"/>
          <w:sz w:val="24"/>
          <w:spacing w:val="0"/>
          <w:b w:val="off"/>
          <w:i w:val="off"/>
        </w:rPr>
        <w:t>。区块链通过分布式账本技术，确保数据不可篡改，为历史档案的客观性提供了技术保障。例如，2026年上线的"新澳历史记录联合查询平台"采用三层验证模型（原始介质层、共识存证层与解析呈现层），确保历史文件的不可篡改性，并通过多维筛选和证据权重标识提升可信度。每一份文件的哈希值（数字指纹）被同步记录在区块链上，任何一次调取、注释或关联操作都会生成新的存证记录，使文件的真实性不再依赖于保管机构的权威，而是由不可篡改的技术协议来保障。</w:t>
      </w:r>
      <w:bookmarkEnd w:id="1024"/>
    </w:p>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n"/>
          <w:i w:val="off"/>
        </w:rPr>
        <w:t>AI技术在叙事真实性检测与多视角整合方面展现出巨大潜力</w:t>
      </w:r>
      <w:r>
        <w:rPr>
          <w:rFonts w:ascii="宋体" w:cs="宋体" w:eastAsia="宋体" w:hAnsi="宋体"/>
          <w:sz w:val="24"/>
          <w:spacing w:val="0"/>
          <w:b w:val="off"/>
          <w:i w:val="off"/>
        </w:rPr>
        <w:t>。一方面，AI检测技术（如DuB3D算法）能以96.77%的准确率检测视频真实性，BERT和RobertA模型则能以98%的准确率检测AI生成新闻。另一方面，LLM（大型语言模型）的"叙事编织"（Narrative Braiding）技术通过整合多源叙事，形成包含共识、独特信息和冲突解决的综合叙事。例如，TELeR分类法中的Level 3 Prompt要求模型执行六个任务：提取重叠语句对并改写、提取每个叙事的独特语句、提取冲突语句对并解决冲突、生成段落并合并、重排句子为详细连贯故事、总结为简洁的编织叙事。这种技术为多元视角的整合提供了方法论支持。</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n"/>
          <w:i w:val="off"/>
        </w:rPr>
        <w:t>跨媒体叙事则通过多平台联动实现用户参与与多维呈现</w:t>
      </w:r>
      <w:r>
        <w:rPr>
          <w:rFonts w:ascii="宋体" w:cs="宋体" w:eastAsia="宋体" w:hAnsi="宋体"/>
          <w:sz w:val="24"/>
          <w:spacing w:val="0"/>
          <w:b w:val="off"/>
          <w:i w:val="off"/>
        </w:rPr>
        <w:t>。亨利·詹金斯提出的"跨媒体故事讲述"（Transmedia Storytelling）理论强调，优秀叙事不仅是内容的简单复制，而是通过各媒介特有的表现优势互补，构建起多元且丰富的"叙事宇宙"。例如，《三体》IP通过小说、影视、游戏等多种媒介形式，将"生存优先"的核心价值观转化为不同媒介的符号系统：小说通过科学设定与人物抉择体现；电视剧通过镜头隐喻传递；游戏则通过规则设计让玩家亲身体验。这种多媒介协同使抽象价值观获得可感知的叙事载体，增强了叙事的可信度与参与感。</w:t>
      </w:r>
      <w:bookmarkEnd w:id="1026"/>
    </w:p>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n"/>
          <w:i w:val="off"/>
        </w:rPr>
        <w:t>构建多元视角的共同叙事机制</w:t>
      </w:r>
      <w:r>
        <w:rPr>
          <w:rFonts w:ascii="宋体" w:cs="宋体" w:eastAsia="宋体" w:hAnsi="宋体"/>
          <w:sz w:val="24"/>
          <w:spacing w:val="0"/>
          <w:b w:val="off"/>
          <w:i w:val="off"/>
        </w:rPr>
        <w:t>需要平衡创作者主导权与用户参与度。中国传媒大学动画与数字艺术学院2023年研究指出，最优的叙事权分配比应为创作者保留70%核心设定权，30%开放给用户参与，此比例下作品质量稳定性和用户满意度达到最佳平衡。主流媒体可借鉴这一模式，将经典IP资源转化为可深度参与的沉浸式故事世界，如《黑神话：悟空》通过游戏媒介的"玩家视角重构"，使玩家在"隐藏自己、消灭对手"的游戏逻辑中亲身体验IP的核心哲学，实现从"观看内容"到"体验世界"的转变。</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n"/>
          <w:i w:val="off"/>
        </w:rPr>
        <w:t>在技术伦理层面</w:t>
      </w:r>
      <w:r>
        <w:rPr>
          <w:rFonts w:ascii="宋体" w:cs="宋体" w:eastAsia="宋体" w:hAnsi="宋体"/>
          <w:sz w:val="24"/>
          <w:spacing w:val="0"/>
          <w:b w:val="off"/>
          <w:i w:val="off"/>
        </w:rPr>
        <w:t>，我们需要引入多模态伦理框架和用户反馈系统。研究显示，AI生成的故事或角色可能 perpetuate stereotypes 或 reinforce societal biases，尤其是当它们被训练在有偏见的数据上。因此，需要通过多模态数据（文本、图像、音频）和伦理框架（如MP-ETHICS数据集）减少AI叙事的偏见。同时，用户参与设计（如《全职高手》IP的共创生态）和媒介互补（如游戏与小说的互动）能构建多维度叙事，使叙事从"说教式"转向"沉浸式"，增强叙事的互动性与真实性。</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n"/>
          <w:i w:val="off"/>
        </w:rPr>
        <w:t>未来叙事的跃升路径</w:t>
      </w:r>
      <w:r>
        <w:rPr>
          <w:rFonts w:ascii="宋体" w:cs="宋体" w:eastAsia="宋体" w:hAnsi="宋体"/>
          <w:sz w:val="24"/>
          <w:spacing w:val="0"/>
          <w:b w:val="off"/>
          <w:i w:val="off"/>
        </w:rPr>
        <w:t>应该包括：利用区块链技术确保历史档案的客观性；通过AI多视角整合技术平衡叙事的共识与差异；借助跨媒体叙事的用户共创模式增强叙事的参与感与包容性；建立透明、可追溯的叙事权分配机制，减少单一权威对叙事的垄断。这些技术与方法的协同应用，将使叙事从"虚构故事"转向"真实历史"，从"单向传播"转向"多向互动"，从"权威垄断"转向"民主共创"。</w:t>
      </w:r>
      <w:bookmarkEnd w:id="1029"/>
    </w:p>
    <w:p>
      <w:pPr>
        <w:pageBreakBefore w:val="off"/>
        <w:tabs/>
        <w:wordWrap w:val="on"/>
        <w:spacing w:after="0" w:before="160"/>
        <w:ind w:left="0" w:right="0"/>
        <w:jc w:val="left"/>
        <w:textAlignment w:val="auto"/>
        <w:rPr>
          <w:sz w:val="28"/>
        </w:rPr>
      </w:pPr>
      <w:bookmarkStart w:id="1030" w:name=""/>
      <w:r>
        <w:rPr>
          <w:rFonts w:ascii="宋体" w:cs="宋体" w:eastAsia="宋体" w:hAnsi="宋体"/>
          <w:sz w:val="28"/>
          <w:spacing w:val="0"/>
          <w:b w:val="on"/>
          <w:i w:val="off"/>
        </w:rPr>
        <w:t>五、结论：叙事的进化与重构</w:t>
      </w:r>
      <w:bookmarkEnd w:id="1030"/>
    </w:p>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人类叙事从智人的虚构本能到现代社会的信息爆炸，经历了漫长而复杂的进化历程。智人通过额叶皮层的进化优势、FOXP2基因的突变以及社会需求的进化压力，发展出虚构叙事能力，这成为其统治地球的关键。然而，传统历史叙事的局限性（如"为尊者讳"）和后现代主义对宏大叙事的批判，揭示了历史叙事的主观性与建构性本质。</w:t>
      </w:r>
      <w:bookmarkEnd w:id="1031"/>
    </w:p>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ff"/>
          <w:i w:val="off"/>
        </w:rPr>
        <w:t>现代社会中，信息爆炸、政治正确和算法推荐共同构成了叙事可信度的新危机。区块链技术、AI检测与多视角整合技术、跨媒体叙事的用户共创模式，为叙事的跃升提供了可能路径。</w:t>
      </w:r>
      <w:r>
        <w:rPr>
          <w:rFonts w:ascii="宋体" w:cs="宋体" w:eastAsia="宋体" w:hAnsi="宋体"/>
          <w:sz w:val="24"/>
          <w:spacing w:val="0"/>
          <w:b w:val="on"/>
          <w:i w:val="off"/>
        </w:rPr>
        <w:t>未来叙事应该融合技术赋能与多元视角，构建透明、可信、互动、包容的叙事体系，使叙事成为连接过去与未来的桥梁，而非割裂历史与现实的屏障</w:t>
      </w:r>
      <w:r>
        <w:rPr>
          <w:rFonts w:ascii="宋体" w:cs="宋体" w:eastAsia="宋体" w:hAnsi="宋体"/>
          <w:sz w:val="24"/>
          <w:spacing w:val="0"/>
          <w:b w:val="off"/>
          <w:i w:val="off"/>
        </w:rPr>
        <w:t>。</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ff"/>
          <w:i w:val="off"/>
        </w:rPr>
        <w:t>在这个过程中，我们需要认识到叙事的双重本质——既是人类建构意义的工具，也是历史真相的载体。只有在保持叙事目的性的同时，不断提升其真实性，才能使人类叙事在现代社会中实现真正的跃升与进化。</w:t>
      </w:r>
      <w:bookmarkEnd w:id="1033"/>
    </w:p>
    <w:p>
      <w:pPr>
        <w:pageBreakBefore w:val="off"/>
        <w:tabs/>
        <w:wordWrap w:val="on"/>
        <w:spacing w:after="0" w:before="160"/>
        <w:ind w:left="0" w:right="0"/>
        <w:jc w:val="left"/>
        <w:textAlignment w:val="auto"/>
        <w:rPr>
          <w:sz w:val="28"/>
        </w:rPr>
      </w:pPr>
      <w:bookmarkStart w:id="1034" w:name=""/>
      <w:r>
        <w:rPr>
          <w:rFonts w:ascii="宋体" w:cs="宋体" w:eastAsia="宋体" w:hAnsi="宋体"/>
          <w:sz w:val="28"/>
          <w:spacing w:val="0"/>
          <w:b w:val="on"/>
          <w:i w:val="off"/>
        </w:rPr>
        <w:t>参考来源</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ff"/>
          <w:i w:val="off"/>
        </w:rPr>
        <w:t>[1]大脑为什么爱编故事？ — 新京报</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ff"/>
          <w:i w:val="off"/>
        </w:rPr>
        <w:t>https://www.bjnews.com.cn/detail/1717143526169237.html</w:t>
      </w:r>
      <w:bookmarkEnd w:id="1036"/>
    </w:p>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ff"/>
          <w:i w:val="off"/>
        </w:rPr>
        <w:t>[2]人类简史：从动物到上帝（尤瓦尔·赫拉利创作的历史类著作）_百度百科</w:t>
      </w:r>
      <w:bookmarkEnd w:id="1037"/>
    </w:p>
    <w:p>
      <w:pPr>
        <w:pageBreakBefore w:val="off"/>
        <w:tabs/>
        <w:wordWrap w:val="on"/>
        <w:spacing w:after="0" w:before="160"/>
        <w:ind w:left="0" w:right="0"/>
        <w:jc w:val="left"/>
        <w:textAlignment w:val="auto"/>
        <w:rPr>
          <w:sz w:val="24"/>
        </w:rPr>
      </w:pPr>
      <w:bookmarkStart w:id="1038" w:name=""/>
      <w:r>
        <w:rPr>
          <w:rFonts w:ascii="宋体" w:cs="宋体" w:eastAsia="宋体" w:hAnsi="宋体"/>
          <w:sz w:val="24"/>
          <w:spacing w:val="0"/>
          <w:b w:val="off"/>
          <w:i w:val="off"/>
        </w:rPr>
        <w:t>https://bkso.baidu.com/item/%E4%BA%BA%E7%B1%BB%E7%AE%80%E5%8F%B2%EF%BC%9A%E4%BB%8E%E5%8A%A8%E7%89%A9%E5%88%B0%E4%B8%8A%E5%B8%9D/16167594?fromModule=lemma_starMap&amp;lemmaFrom=lemma_starMap&amp;lemmaIdFrom=9521816&amp;starNodeId=6985b0e60acaf6b9c541d0d0</w:t>
      </w:r>
      <w:bookmarkEnd w:id="1038"/>
    </w:p>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ff"/>
          <w:i w:val="off"/>
        </w:rPr>
        <w:t>[3]【书香润盟】《人类简史》：一场跨越时空的文明之旅</w:t>
      </w:r>
      <w:bookmarkEnd w:id="1039"/>
    </w:p>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ff"/>
          <w:i w:val="off"/>
        </w:rPr>
        <w:t>https://mp.weixin.qq.com/s?new=1&amp;signature=1AKtIS1lNsYpLT8pg0AsRPp5Bvqdrv89VMueZnBFLvSR5*MEkUYfmmDaLpJaQxdWFTFrJRzRBqMfPTBP1YRNfj8TOOaXCTnUoMzdmxCHfrza8hl5G21YJLzJzFsy6vjH&amp;src=11&amp;timestamp=1760849540&amp;ver=6305</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ff"/>
          <w:i w:val="off"/>
        </w:rPr>
        <w:t>[4]《人类简史》：人类演化史告诉你“会讲故事”多重要</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ff"/>
          <w:i w:val="off"/>
        </w:rPr>
        <w:t>https://mp.weixin.qq.com/s?new=1&amp;signature=vDr9qKyp0ideY4Tg2Nd-uRJoh3u5XwHe8ZeCqZgHoGRC1ej1n2lDyOvZZc6vmUVDJWdFHMPwTZkzgNSXFbyDApRe5HAtD4S9oEalkyWeK412xW**bao4j0z4y5lIVSU3&amp;src=11&amp;timestamp=1760842904&amp;ver=6305</w:t>
      </w:r>
      <w:bookmarkEnd w:id="1042"/>
    </w:p>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ff"/>
          <w:i w:val="off"/>
        </w:rPr>
        <w:t>[5]志荣原创丨创新：让古猿进化成智人!</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ff"/>
          <w:i w:val="off"/>
        </w:rPr>
        <w:t>https://mp.weixin.qq.com/s?__biz=MzkwNjQ0MzQyNA==&amp;idx=1&amp;mid=2247545151&amp;sn=4735bfe380c8bb22ec63b9e2e2775a66</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ff"/>
          <w:i w:val="off"/>
        </w:rPr>
        <w:t>[6]《人类大历史》第二章：智人靠讲故事统治世界</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ff"/>
          <w:i w:val="off"/>
        </w:rPr>
        <w:t>https://page.sm.cn/blm/node-page-new-995/index?h=iknow.v4_3.quark.cn&amp;id=28_968f53698cdc025afeacc0c9ea471e06&amp;q=&amp;sid=fd9e3da163ed42e6b0829793fb57cc57&amp;entry=native_chat</w:t>
      </w:r>
      <w:bookmarkEnd w:id="1046"/>
    </w:p>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ff"/>
          <w:i w:val="off"/>
        </w:rPr>
        <w:t>[7]Postmodernism: Features, Key Works &amp; Impact on Narrative Structure</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ff"/>
          <w:i w:val="off"/>
        </w:rPr>
        <w:t>https://urchinmovement.com/postmodernism-defining-features-key-works-and-its-impact-on-narrative-structure/</w:t>
      </w:r>
      <w:bookmarkEnd w:id="1048"/>
    </w:p>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ff"/>
          <w:i w:val="off"/>
        </w:rPr>
        <w:t>[8]科学网—5万年前的“猪”成最早叙事画</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ff"/>
          <w:i w:val="off"/>
        </w:rPr>
        <w:t>https://news.sciencenet.cn/sbhtmlnews/2024/7/380227.shtm</w:t>
      </w:r>
      <w:bookmarkEnd w:id="1050"/>
    </w:p>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ff"/>
          <w:i w:val="off"/>
        </w:rPr>
        <w:t>[9]The Evolution of Story — From Oral Tradition to Digital Narrative - Isayabelle</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ff"/>
          <w:i w:val="off"/>
        </w:rPr>
        <w:t>https://isayabelle.com/the-evolution-of-story-from-oral-tradition-to-digital-narrative</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ff"/>
          <w:i w:val="off"/>
        </w:rPr>
        <w:t>[10]Neanderthal language revisited: not only us</w:t>
      </w:r>
      <w:bookmarkEnd w:id="1053"/>
    </w:p>
    <w:p>
      <w:pPr>
        <w:pageBreakBefore w:val="off"/>
        <w:tabs/>
        <w:wordWrap w:val="on"/>
        <w:spacing w:after="0" w:before="160"/>
        <w:ind w:left="0" w:right="0"/>
        <w:jc w:val="left"/>
        <w:textAlignment w:val="auto"/>
        <w:rPr>
          <w:sz w:val="24"/>
        </w:rPr>
      </w:pPr>
      <w:bookmarkStart w:id="1054" w:name=""/>
      <w:r>
        <w:rPr>
          <w:rFonts w:ascii="宋体" w:cs="宋体" w:eastAsia="宋体" w:hAnsi="宋体"/>
          <w:sz w:val="24"/>
          <w:spacing w:val="0"/>
          <w:b w:val="off"/>
          <w:i w:val="off"/>
        </w:rPr>
        <w:t>https://pure.mpg.de/rest/items/item_2521815_7/component/file_2538918/content</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ff"/>
          <w:i w:val="off"/>
        </w:rPr>
        <w:t>[11]Can Evolutionary Theory Expla Portrayals of the Righteous Among the Nations?</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ff"/>
          <w:i w:val="off"/>
        </w:rPr>
        <w:t>https://www.researchgate.net/profile/Craig-Palmer-5/publication/330230297_Can_Evolutionary_Theory_Explain_Portrayals_of_the_Righteous_Among_the_Nations/links/5c76f5a2a6fdcc4715a142e7/Can-Evolutionary-Theory-Explain-Portrayals-of-the-Righteous-Among-the-Nations.pdf</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ff"/>
          <w:i w:val="off"/>
        </w:rPr>
        <w:t>[12]Evolution of Nervous Systems and Brains</w:t>
      </w:r>
      <w:bookmarkEnd w:id="1057"/>
    </w:p>
    <w:p>
      <w:pPr>
        <w:pageBreakBefore w:val="off"/>
        <w:tabs/>
        <w:wordWrap w:val="on"/>
        <w:spacing w:after="0" w:before="160"/>
        <w:ind w:left="0" w:right="0"/>
        <w:jc w:val="left"/>
        <w:textAlignment w:val="auto"/>
        <w:rPr>
          <w:sz w:val="24"/>
        </w:rPr>
      </w:pPr>
      <w:bookmarkStart w:id="1058" w:name=""/>
      <w:r>
        <w:rPr>
          <w:rFonts w:ascii="宋体" w:cs="宋体" w:eastAsia="宋体" w:hAnsi="宋体"/>
          <w:sz w:val="24"/>
          <w:spacing w:val="0"/>
          <w:b w:val="off"/>
          <w:i w:val="off"/>
        </w:rPr>
        <w:t>https://link.springer.com/book/10.1007/978-3-642-10769-6</w:t>
      </w:r>
      <w:bookmarkEnd w:id="1058"/>
    </w:p>
    <w:p>
      <w:pPr>
        <w:pageBreakBefore w:val="off"/>
        <w:tabs/>
        <w:wordWrap w:val="on"/>
        <w:spacing w:after="0" w:before="160"/>
        <w:ind w:left="0" w:right="0"/>
        <w:jc w:val="left"/>
        <w:textAlignment w:val="auto"/>
        <w:rPr>
          <w:sz w:val="24"/>
        </w:rPr>
      </w:pPr>
      <w:bookmarkStart w:id="1059" w:name=""/>
      <w:r>
        <w:rPr>
          <w:rFonts w:ascii="宋体" w:cs="宋体" w:eastAsia="宋体" w:hAnsi="宋体"/>
          <w:sz w:val="24"/>
          <w:spacing w:val="0"/>
          <w:b w:val="off"/>
          <w:i w:val="off"/>
        </w:rPr>
        <w:t>[13]X-Ray Computed Microtomography for Paleoanthropology, Archology, and Cultural Heritage</w:t>
      </w:r>
      <w:bookmarkEnd w:id="1059"/>
    </w:p>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ff"/>
          <w:i w:val="off"/>
        </w:rPr>
        <w:t>https://www.sciencedirect.com/book/9780128139103/nanotechnologies-and-nanomaterials-for-diagnostic-conservation-and-restoration-of-cultural-heritage</w:t>
      </w:r>
      <w:bookmarkEnd w:id="1060"/>
    </w:p>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ff"/>
          <w:i w:val="off"/>
        </w:rPr>
        <w:t>[14]The Birth of Narrative out of the Spirit of the Excuse: A Speculation</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ff"/>
          <w:i w:val="off"/>
        </w:rPr>
        <w:t>https://scholarworks.iu.edu/dspace/bitstream/handle/2022/21551/Birth%20of%20Narrative1.pdf?sequence=1</w:t>
      </w:r>
      <w:bookmarkEnd w:id="1062"/>
    </w:p>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ff"/>
          <w:i w:val="off"/>
        </w:rPr>
        <w:t>[15]The dynamics of Machiavellian intelligence</w:t>
      </w:r>
      <w:bookmarkEnd w:id="1063"/>
    </w:p>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ff"/>
          <w:i w:val="off"/>
        </w:rPr>
        <w:t>https://arxiv.org/abs/q-bio/0610002</w:t>
      </w:r>
      <w:bookmarkEnd w:id="1064"/>
    </w:p>
    <w:p>
      <w:pPr>
        <w:pageBreakBefore w:val="off"/>
        <w:tabs/>
        <w:wordWrap w:val="on"/>
        <w:spacing w:after="0" w:before="160"/>
        <w:ind w:left="0" w:right="0"/>
        <w:jc w:val="left"/>
        <w:textAlignment w:val="auto"/>
        <w:rPr>
          <w:sz w:val="24"/>
        </w:rPr>
      </w:pPr>
      <w:bookmarkStart w:id="1065" w:name=""/>
      <w:r>
        <w:rPr>
          <w:rFonts w:ascii="宋体" w:cs="宋体" w:eastAsia="宋体" w:hAnsi="宋体"/>
          <w:sz w:val="24"/>
          <w:spacing w:val="0"/>
          <w:b w:val="off"/>
          <w:i w:val="off"/>
        </w:rPr>
        <w:t>[16]Editorial over输出： The evolution of language as a neurobiological system</w:t>
      </w:r>
      <w:bookmarkEnd w:id="1065"/>
    </w:p>
    <w:p>
      <w:pPr>
        <w:pageBreakBefore w:val="off"/>
        <w:tabs/>
        <w:wordWrap w:val="on"/>
        <w:spacing w:after="0" w:before="160"/>
        <w:ind w:left="0" w:right="0"/>
        <w:jc w:val="left"/>
        <w:textAlignment w:val="auto"/>
        <w:rPr>
          <w:sz w:val="24"/>
        </w:rPr>
      </w:pPr>
      <w:bookmarkStart w:id="1066" w:name=""/>
      <w:r>
        <w:rPr>
          <w:rFonts w:ascii="宋体" w:cs="宋体" w:eastAsia="宋体" w:hAnsi="宋体"/>
          <w:sz w:val="24"/>
          <w:spacing w:val="0"/>
          <w:b w:val="off"/>
          <w:i w:val="off"/>
        </w:rPr>
        <w:t>https://www.researchgate.net/publication/326036569_Editorial_overview_The_evolution_of_language_as_a_neurobiological_system/fulltext/5b5a6d80458515c4b24a03bb/Editorial-overview-The-evolution-of-language-as-a-neurobiological-system.pdf</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ff"/>
          <w:i w:val="off"/>
        </w:rPr>
        <w:t>[17]reviews</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ff"/>
          <w:i w:val="off"/>
        </w:rPr>
        <w:t>https://journals.uvic.ca/index.php/pir/article/view/17997/7713</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ff"/>
          <w:i w:val="off"/>
        </w:rPr>
        <w:t>[18]The cradle of thought: growth, learning, play and attachment in Neanderthal children</w:t>
      </w:r>
      <w:bookmarkEnd w:id="1069"/>
    </w:p>
    <w:p>
      <w:pPr>
        <w:pageBreakBefore w:val="off"/>
        <w:tabs/>
        <w:wordWrap w:val="on"/>
        <w:spacing w:after="0" w:before="160"/>
        <w:ind w:left="0" w:right="0"/>
        <w:jc w:val="left"/>
        <w:textAlignment w:val="auto"/>
        <w:rPr>
          <w:sz w:val="24"/>
        </w:rPr>
      </w:pPr>
      <w:bookmarkStart w:id="1070" w:name=""/>
      <w:r>
        <w:rPr>
          <w:rFonts w:ascii="宋体" w:cs="宋体" w:eastAsia="宋体" w:hAnsi="宋体"/>
          <w:sz w:val="24"/>
          <w:spacing w:val="0"/>
          <w:b w:val="off"/>
          <w:i w:val="off"/>
        </w:rPr>
        <w:t>https://eprints.whiterose.ac.uk/83027/1/NeanderthalChildhood_OA_Images_sml.pdf</w:t>
      </w:r>
      <w:bookmarkEnd w:id="1070"/>
    </w:p>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ff"/>
          <w:i w:val="off"/>
        </w:rPr>
        <w:t>[19]Further Evidence Concerning Speech in Neandertal Man</w:t>
      </w:r>
      <w:bookmarkEnd w:id="1071"/>
    </w:p>
    <w:p>
      <w:pPr>
        <w:pageBreakBefore w:val="off"/>
        <w:tabs/>
        <w:wordWrap w:val="on"/>
        <w:spacing w:after="0" w:before="160"/>
        <w:ind w:left="0" w:right="0"/>
        <w:jc w:val="left"/>
        <w:textAlignment w:val="auto"/>
        <w:rPr>
          <w:sz w:val="24"/>
        </w:rPr>
      </w:pPr>
      <w:bookmarkStart w:id="1072" w:name=""/>
      <w:r>
        <w:rPr>
          <w:rFonts w:ascii="宋体" w:cs="宋体" w:eastAsia="宋体" w:hAnsi="宋体"/>
          <w:sz w:val="24"/>
          <w:spacing w:val="0"/>
          <w:b w:val="off"/>
          <w:i w:val="off"/>
        </w:rPr>
        <w:t>https://www.jstor.org/stable/2800391</w:t>
      </w:r>
      <w:bookmarkEnd w:id="1072"/>
    </w:p>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ff"/>
          <w:i w:val="off"/>
        </w:rPr>
        <w:t>[20]A Recent Evolutionary Change affects a Regulatory Element in the Human FOXP2 Gene</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ff"/>
          <w:i w:val="off"/>
        </w:rPr>
        <w:t>https://www.eva.mpg.de/documents/Oxford/Maricic_Recent_MolBiolEvo_2013_1752710.pdf</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ff"/>
          <w:i w:val="off"/>
        </w:rPr>
        <w:t>[21]Q&amp;A: What is human language, when did it evolve and why should we care?</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ff"/>
          <w:i w:val="off"/>
        </w:rPr>
        <w:t>https://centaur.reading.ac.uk/71865/1/s12915-017-0405-3.pdf</w:t>
      </w:r>
      <w:bookmarkEnd w:id="1076"/>
    </w:p>
    <w:p>
      <w:pPr>
        <w:pageBreakBefore w:val="off"/>
        <w:tabs/>
        <w:wordWrap w:val="on"/>
        <w:spacing w:after="0" w:before="160"/>
        <w:ind w:left="0" w:right="0"/>
        <w:jc w:val="left"/>
        <w:textAlignment w:val="auto"/>
        <w:rPr>
          <w:sz w:val="24"/>
        </w:rPr>
      </w:pPr>
      <w:bookmarkStart w:id="1077" w:name=""/>
      <w:r>
        <w:rPr>
          <w:rFonts w:ascii="宋体" w:cs="宋体" w:eastAsia="宋体" w:hAnsi="宋体"/>
          <w:sz w:val="24"/>
          <w:spacing w:val="0"/>
          <w:b w:val="off"/>
          <w:i w:val="off"/>
        </w:rPr>
        <w:t>[22]Hypothesis on two different functionalities co-existing in frontal lobe of human brains</w:t>
      </w:r>
      <w:bookmarkEnd w:id="1077"/>
    </w:p>
    <w:p>
      <w:pPr>
        <w:pageBreakBefore w:val="off"/>
        <w:tabs/>
        <w:wordWrap w:val="on"/>
        <w:spacing w:after="0" w:before="160"/>
        <w:ind w:left="0" w:right="0"/>
        <w:jc w:val="left"/>
        <w:textAlignment w:val="auto"/>
        <w:rPr>
          <w:sz w:val="24"/>
        </w:rPr>
      </w:pPr>
      <w:bookmarkStart w:id="1078" w:name=""/>
      <w:r>
        <w:rPr>
          <w:rFonts w:ascii="宋体" w:cs="宋体" w:eastAsia="宋体" w:hAnsi="宋体"/>
          <w:sz w:val="24"/>
          <w:spacing w:val="0"/>
          <w:b w:val="off"/>
          <w:i w:val="off"/>
        </w:rPr>
        <w:t>https://daneshyari.com/article/preview/5812229.pdf</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[23]The Association Between Genetic Variation in FOXP2 and Sensorimotor Control of Speech Production</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ff"/>
          <w:i w:val="off"/>
        </w:rPr>
        <w:t>https://www.researchgate.net/profile/Hanjun-Liu/publication/327775222_The_Association_Between_Genetic_Variation_in_FOXP2_and_Sensorimotor_Control_of_Speech_Production/links/5ba3976a92851ca9ed17db38/The-Association-Between-Genetic-Variation-in-FOXP2-and-Sensorimotor-Control-of-Speech-Production.pdf</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[24]Frontal Lobe Psychopathology: Mania, Depression, Confabulation, Catatonia, Perseveration, Obsessive Compulsions, and Schizophrenia</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ff"/>
          <w:i w:val="off"/>
        </w:rPr>
        <w:t>https://www.researchgate.net/profile/Rhawn-Joseph/publication/12879976_Frontal_Lobe_Psychopathology_Mania_Depression_Confabulation_Catatonia_Perseveration_Obsessive_Compulsions_and_Schizophrenia/links/61c6a1b6da5d105e55f66a49/Frontal-Lobe-Psychopathology-Mania-Depression-Confabulation-Catatonia-Perseveration-Obsessive-Compulsions-and-Schizophrenia.pdf?origin=publication_detail</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ff"/>
          <w:i w:val="off"/>
        </w:rPr>
        <w:t>[25]尼安德特人：是“他们”，还是“我们”？| 争鸣-赛先生的财新博客-财新网</w:t>
      </w:r>
      <w:bookmarkEnd w:id="1083"/>
    </w:p>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ff"/>
          <w:i w:val="off"/>
        </w:rPr>
        <w:t>https://iscientists.blog.caixin.com/archives/286700</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ff"/>
          <w:i w:val="off"/>
        </w:rPr>
        <w:t>[26]Playing with language, creating complexity: Has play contributed to the evolution of complex language?</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ff"/>
          <w:i w:val="off"/>
        </w:rPr>
        <w:t>https://rke.abertay.ac.uk/files/17448321/Kempe_PlayingWithLanguage_Accepted_2019.pdf</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ff"/>
          <w:i w:val="off"/>
        </w:rPr>
        <w:t>[27]A THEORY OF FRONTAL LOBE FUNCTION</w:t>
      </w:r>
      <w:bookmarkEnd w:id="1087"/>
    </w:p>
    <w:p>
      <w:pPr>
        <w:pageBreakBefore w:val="off"/>
        <w:tabs/>
        <w:wordWrap w:val="on"/>
        <w:spacing w:after="0" w:before="160"/>
        <w:ind w:left="0" w:right="0"/>
        <w:jc w:val="left"/>
        <w:textAlignment w:val="auto"/>
        <w:rPr>
          <w:sz w:val="24"/>
        </w:rPr>
      </w:pPr>
      <w:bookmarkStart w:id="1088" w:name=""/>
      <w:r>
        <w:rPr>
          <w:rFonts w:ascii="宋体" w:cs="宋体" w:eastAsia="宋体" w:hAnsi="宋体"/>
          <w:sz w:val="24"/>
          <w:spacing w:val="0"/>
          <w:b w:val="off"/>
          <w:i w:val="off"/>
        </w:rPr>
        <w:t>https://jamanetwork.com/journals/neurpsych/articlepdf/651353/archneurpsyc_67_4_008.pdf</w:t>
      </w:r>
      <w:bookmarkEnd w:id="1088"/>
    </w:p>
    <w:p>
      <w:pPr>
        <w:pageBreakBefore w:val="off"/>
        <w:tabs/>
        <w:wordWrap w:val="on"/>
        <w:spacing w:after="0" w:before="160"/>
        <w:ind w:left="0" w:right="0"/>
        <w:jc w:val="left"/>
        <w:textAlignment w:val="auto"/>
        <w:rPr>
          <w:sz w:val="24"/>
        </w:rPr>
      </w:pPr>
      <w:bookmarkStart w:id="1089" w:name=""/>
      <w:r>
        <w:rPr>
          <w:rFonts w:ascii="宋体" w:cs="宋体" w:eastAsia="宋体" w:hAnsi="宋体"/>
          <w:sz w:val="24"/>
          <w:spacing w:val="0"/>
          <w:b w:val="off"/>
          <w:i w:val="off"/>
        </w:rPr>
        <w:t>[28]古人类也会“铅中毒”：研究揭示环境毒素可能造就了“现代大脑” - 今日头条</w:t>
      </w:r>
      <w:bookmarkEnd w:id="1089"/>
    </w:p>
    <w:p>
      <w:pPr>
        <w:pageBreakBefore w:val="off"/>
        <w:tabs/>
        <w:wordWrap w:val="on"/>
        <w:spacing w:after="0" w:before="160"/>
        <w:ind w:left="0" w:right="0"/>
        <w:jc w:val="left"/>
        <w:textAlignment w:val="auto"/>
        <w:rPr>
          <w:sz w:val="24"/>
        </w:rPr>
      </w:pPr>
      <w:bookmarkStart w:id="1090" w:name=""/>
      <w:r>
        <w:rPr>
          <w:rFonts w:ascii="宋体" w:cs="宋体" w:eastAsia="宋体" w:hAnsi="宋体"/>
          <w:sz w:val="24"/>
          <w:spacing w:val="0"/>
          <w:b w:val="off"/>
          <w:i w:val="off"/>
        </w:rPr>
        <w:t>https://www.toutiao.com/article/7563137957993939506/</w:t>
      </w:r>
      <w:bookmarkEnd w:id="1090"/>
    </w:p>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ff"/>
          <w:i w:val="off"/>
        </w:rPr>
        <w:t>[29]Did the Ausralopithecines Sing?</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ff"/>
          <w:i w:val="off"/>
        </w:rPr>
        <w:t>https://www.jstor.org/stable/2741094</w:t>
      </w:r>
      <w:bookmarkEnd w:id="1092"/>
    </w:p>
    <w:p>
      <w:pPr>
        <w:pageBreakBefore w:val="off"/>
        <w:tabs/>
        <w:wordWrap w:val="on"/>
        <w:spacing w:after="0" w:before="160"/>
        <w:ind w:left="0" w:right="0"/>
        <w:jc w:val="left"/>
        <w:textAlignment w:val="auto"/>
        <w:rPr>
          <w:sz w:val="24"/>
        </w:rPr>
      </w:pPr>
      <w:bookmarkStart w:id="1093" w:name=""/>
      <w:r>
        <w:rPr>
          <w:rFonts w:ascii="宋体" w:cs="宋体" w:eastAsia="宋体" w:hAnsi="宋体"/>
          <w:sz w:val="24"/>
          <w:spacing w:val="0"/>
          <w:b w:val="off"/>
          <w:i w:val="off"/>
        </w:rPr>
        <w:t>[30]The Political Uses of the Dead as Symbols in Contemporary Civil Religions</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ff"/>
          <w:i w:val="off"/>
        </w:rPr>
        <w:t>https://www.jstor.org/stable/pdf/2578130.pdf?addFooter=false</w:t>
      </w:r>
      <w:bookmarkEnd w:id="1094"/>
    </w:p>
    <w:p>
      <w:pPr>
        <w:pageBreakBefore w:val="off"/>
        <w:tabs/>
        <w:wordWrap w:val="on"/>
        <w:spacing w:after="0" w:before="160"/>
        <w:ind w:left="0" w:right="0"/>
        <w:jc w:val="left"/>
        <w:textAlignment w:val="auto"/>
        <w:rPr>
          <w:sz w:val="24"/>
        </w:rPr>
      </w:pPr>
      <w:bookmarkStart w:id="1095" w:name=""/>
      <w:r>
        <w:rPr>
          <w:rFonts w:ascii="宋体" w:cs="宋体" w:eastAsia="宋体" w:hAnsi="宋体"/>
          <w:sz w:val="24"/>
          <w:spacing w:val="0"/>
          <w:b w:val="off"/>
          <w:i w:val="off"/>
        </w:rPr>
        <w:t>[31]Labor in the Digital Age</w:t>
      </w:r>
      <w:bookmarkEnd w:id="1095"/>
    </w:p>
    <w:p>
      <w:pPr>
        <w:pageBreakBefore w:val="off"/>
        <w:tabs/>
        <w:wordWrap w:val="on"/>
        <w:spacing w:after="0" w:before="160"/>
        <w:ind w:left="0" w:right="0"/>
        <w:jc w:val="left"/>
        <w:textAlignment w:val="auto"/>
        <w:rPr>
          <w:sz w:val="24"/>
        </w:rPr>
      </w:pPr>
      <w:bookmarkStart w:id="1096" w:name=""/>
      <w:r>
        <w:rPr>
          <w:rFonts w:ascii="宋体" w:cs="宋体" w:eastAsia="宋体" w:hAnsi="宋体"/>
          <w:sz w:val="24"/>
          <w:spacing w:val="0"/>
          <w:b w:val="off"/>
          <w:i w:val="off"/>
        </w:rPr>
        <w:t>https://link.springer.com/referencework/10.1007/978-981-287-532-7</w:t>
      </w:r>
      <w:bookmarkEnd w:id="1096"/>
    </w:p>
    <w:p>
      <w:pPr>
        <w:pageBreakBefore w:val="off"/>
        <w:tabs/>
        <w:wordWrap w:val="on"/>
        <w:spacing w:after="0" w:before="160"/>
        <w:ind w:left="0" w:right="0"/>
        <w:jc w:val="left"/>
        <w:textAlignment w:val="auto"/>
        <w:rPr>
          <w:sz w:val="24"/>
        </w:rPr>
      </w:pPr>
      <w:bookmarkStart w:id="1097" w:name=""/>
      <w:r>
        <w:rPr>
          <w:rFonts w:ascii="宋体" w:cs="宋体" w:eastAsia="宋体" w:hAnsi="宋体"/>
          <w:sz w:val="24"/>
          <w:spacing w:val="0"/>
          <w:b w:val="off"/>
          <w:i w:val="off"/>
        </w:rPr>
        <w:t>[32]A THEORY OF THEORY AND THE TERRORISMOF TRUTH</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ff"/>
          <w:i w:val="off"/>
        </w:rPr>
        <w:t>https://www.jstor.org/stable/j.ctt7shqp</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ff"/>
          <w:i w:val="off"/>
        </w:rPr>
        <w:t>[33]林鹄：“为尊者讳”的奥秘--文史--中国作家网</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ff"/>
          <w:i w:val="off"/>
        </w:rPr>
        <w:t>http://www.chinawriter.com.cn/n1/2026/0512/c442005-40718315.html</w:t>
      </w:r>
      <w:bookmarkEnd w:id="1100"/>
    </w:p>
    <w:p>
      <w:pPr>
        <w:pageBreakBefore w:val="off"/>
        <w:tabs/>
        <w:wordWrap w:val="on"/>
        <w:spacing w:after="0" w:before="160"/>
        <w:ind w:left="0" w:right="0"/>
        <w:jc w:val="left"/>
        <w:textAlignment w:val="auto"/>
        <w:rPr>
          <w:sz w:val="24"/>
        </w:rPr>
      </w:pPr>
      <w:bookmarkStart w:id="1101" w:name=""/>
      <w:r>
        <w:rPr>
          <w:rFonts w:ascii="宋体" w:cs="宋体" w:eastAsia="宋体" w:hAnsi="宋体"/>
          <w:sz w:val="24"/>
          <w:spacing w:val="0"/>
          <w:b w:val="off"/>
          <w:i w:val="off"/>
        </w:rPr>
        <w:t>[34]A meta-theoretical approach to the history and theory of semiotics</w:t>
      </w:r>
      <w:bookmarkEnd w:id="1101"/>
    </w:p>
    <w:p>
      <w:pPr>
        <w:pageBreakBefore w:val="off"/>
        <w:tabs/>
        <w:wordWrap w:val="on"/>
        <w:spacing w:after="0" w:before="160"/>
        <w:ind w:left="0" w:right="0"/>
        <w:jc w:val="left"/>
        <w:textAlignment w:val="auto"/>
        <w:rPr>
          <w:sz w:val="24"/>
        </w:rPr>
      </w:pPr>
      <w:bookmarkStart w:id="1102" w:name=""/>
      <w:r>
        <w:rPr>
          <w:rFonts w:ascii="宋体" w:cs="宋体" w:eastAsia="宋体" w:hAnsi="宋体"/>
          <w:sz w:val="24"/>
          <w:spacing w:val="0"/>
          <w:b w:val="off"/>
          <w:i w:val="off"/>
        </w:rPr>
        <w:t>https://www.degruyter.com/document/doi/10.1515/sem-2015-0100/pdf</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ff"/>
          <w:i w:val="off"/>
        </w:rPr>
        <w:t>[35]为尊者讳_百度百科</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ff"/>
          <w:i w:val="off"/>
        </w:rPr>
        <w:t>https://bkso.baidu.com/item/%E4%B8%BA%E5%B0%8A%E8%80%85%E8%AE%B3/4175002?fromModule=lemma_inlink</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ff"/>
          <w:i w:val="off"/>
        </w:rPr>
        <w:t>[36]利奥塔的“异识论”批判-中国社会科学网</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ff"/>
          <w:i w:val="off"/>
        </w:rPr>
        <w:t>https://www.cssn.cn/skgz/bwyc/202605/t20260527_5993535.shtml</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ff"/>
          <w:i w:val="off"/>
        </w:rPr>
        <w:t>[37]复线历史_百度百科</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https://baike.baidu.com/item/%E5%A4%8D%E7%BA%BF%E5%8E%86%E5%8F%B2/17652431</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ff"/>
          <w:i w:val="off"/>
        </w:rPr>
        <w:t>[38]孔子为尊者讳，乾隆为袁崇焕翻案，中国古代历史是这样流传下来的_上观新闻</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ff"/>
          <w:i w:val="off"/>
        </w:rPr>
        <w:t>https://www.jfdaily.com/news/detail?id=91773</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ff"/>
          <w:i w:val="off"/>
        </w:rPr>
        <w:t>[39]宏大叙事_百度百科</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ff"/>
          <w:i w:val="off"/>
        </w:rPr>
        <w:t>https://bkso.baidu.com/item/%E5%AE%8F%E5%A4%A7%E5%8F%99%E4%BA%8B/1001193?fromModule=lemma_inlink</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[40]程立涛、高佳哲：当代软性历史虚无主义思潮登场的三维逻辑审视-马克思主义研究网</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ff"/>
          <w:i w:val="off"/>
        </w:rPr>
        <w:t>http://marxism.cass.cn/zyzgh/202312/t20231213_5712698.shtml</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ff"/>
          <w:i w:val="off"/>
        </w:rPr>
        <w:t>[41]知识主权、版本互证与算法殖民：论西方历史叙事的建构性谎言及其在现代大语言模型中的认知操纵-CSDN博客</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ff"/>
          <w:i w:val="off"/>
        </w:rPr>
        <w:t>https://blog.csdn.net/SmartTony/article/details/161300806</w:t>
      </w:r>
      <w:bookmarkEnd w:id="1116"/>
    </w:p>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ff"/>
          <w:i w:val="off"/>
        </w:rPr>
        <w:t>[42]跨媒体叙事在数字化红色文化传播中的实践-中国社会科学网</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ff"/>
          <w:i w:val="off"/>
        </w:rPr>
        <w:t>https://www.cssn.cn/skgz/bwyc/202508/t20250815_5910980.shtml</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ff"/>
          <w:i w:val="off"/>
        </w:rPr>
        <w:t>[43]兰斯·莫罗：改写历史以服务“政治正确”，“完续主义”如何危害美国？</w:t>
      </w:r>
      <w:bookmarkEnd w:id="1119"/>
    </w:p>
    <w:p>
      <w:pPr>
        <w:pageBreakBefore w:val="off"/>
        <w:tabs/>
        <w:wordWrap w:val="on"/>
        <w:spacing w:after="0" w:before="160"/>
        <w:ind w:left="0" w:right="0"/>
        <w:jc w:val="left"/>
        <w:textAlignment w:val="auto"/>
        <w:rPr>
          <w:sz w:val="24"/>
        </w:rPr>
      </w:pPr>
      <w:bookmarkStart w:id="1120" w:name=""/>
      <w:r>
        <w:rPr>
          <w:rFonts w:ascii="宋体" w:cs="宋体" w:eastAsia="宋体" w:hAnsi="宋体"/>
          <w:sz w:val="24"/>
          <w:spacing w:val="0"/>
          <w:b w:val="off"/>
          <w:i w:val="off"/>
        </w:rPr>
        <w:t>https://www.guancha.cn/LanceMorrow/2023_10_03_710729.shtml</w:t>
      </w:r>
      <w:bookmarkEnd w:id="1120"/>
    </w:p>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ff"/>
          <w:i w:val="off"/>
        </w:rPr>
        <w:t>[44]Digital story telling in social justice nursing education</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ff"/>
          <w:i w:val="off"/>
        </w:rPr>
        <w:t>https://static1.squarespace.com/static/55fc83fee4b0482ee5493329/t/59a708b12994cafaf06483fd/1504118962590/LeBlanc-2017-Public_Health_Nursing+%281%29.pdf</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ff"/>
          <w:i w:val="off"/>
        </w:rPr>
        <w:t>[45]中国动画电影的跨媒介叙事策略探究 - 中国电影报</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ff"/>
          <w:i w:val="off"/>
        </w:rPr>
        <w:t>http://chinafilmnews.cn/Html/2025-12-03/19620.html</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ff"/>
          <w:i w:val="off"/>
        </w:rPr>
        <w:t>[46]揭开“重构日本侵略殖民台湾历史”图谋_中国网</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ff"/>
          <w:i w:val="off"/>
        </w:rPr>
        <w:t>http://www.china.com.cn/opinion2020/2026-04/02/content_118415327.shtml</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ff"/>
          <w:i w:val="off"/>
        </w:rPr>
        <w:t>[47]以人工智能赋能思政教育，让学生不再是旁观者｜沈定军_上观新闻</w:t>
      </w:r>
      <w:bookmarkEnd w:id="1127"/>
    </w:p>
    <w:p>
      <w:pPr>
        <w:pageBreakBefore w:val="off"/>
        <w:tabs/>
        <w:wordWrap w:val="on"/>
        <w:spacing w:after="0" w:before="160"/>
        <w:ind w:left="0" w:right="0"/>
        <w:jc w:val="left"/>
        <w:textAlignment w:val="auto"/>
        <w:rPr>
          <w:sz w:val="24"/>
        </w:rPr>
      </w:pPr>
      <w:bookmarkStart w:id="1128" w:name=""/>
      <w:r>
        <w:rPr>
          <w:rFonts w:ascii="宋体" w:cs="宋体" w:eastAsia="宋体" w:hAnsi="宋体"/>
          <w:sz w:val="24"/>
          <w:spacing w:val="0"/>
          <w:b w:val="off"/>
          <w:i w:val="off"/>
        </w:rPr>
        <w:t>http://www.jfdaily.com/news/detail?id=1099818</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ff"/>
          <w:i w:val="off"/>
        </w:rPr>
        <w:t>[48]Transmedia Storytelling: A New Era</w:t>
      </w:r>
      <w:bookmarkEnd w:id="1129"/>
    </w:p>
    <w:p>
      <w:pPr>
        <w:pageBreakBefore w:val="off"/>
        <w:tabs/>
        <w:wordWrap w:val="on"/>
        <w:spacing w:after="0" w:before="160"/>
        <w:ind w:left="0" w:right="0"/>
        <w:jc w:val="left"/>
        <w:textAlignment w:val="auto"/>
        <w:rPr>
          <w:sz w:val="24"/>
        </w:rPr>
      </w:pPr>
      <w:bookmarkStart w:id="1130" w:name=""/>
      <w:r>
        <w:rPr>
          <w:rFonts w:ascii="宋体" w:cs="宋体" w:eastAsia="宋体" w:hAnsi="宋体"/>
          <w:sz w:val="24"/>
          <w:spacing w:val="0"/>
          <w:b w:val="off"/>
          <w:i w:val="off"/>
        </w:rPr>
        <w:t>https://www.numberanalytics.com/blog/ultimate-guide-transmedia-storytelling-film-studies</w:t>
      </w:r>
      <w:bookmarkEnd w:id="1130"/>
    </w:p>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ff"/>
          <w:i w:val="off"/>
        </w:rPr>
        <w:t>[49]徐樱露：二战早已结束，维护正确史观之战未停 - 今日头条</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ff"/>
          <w:i w:val="off"/>
        </w:rPr>
        <w:t>https://www.toutiao.com/article/7530407786761421350/</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ff"/>
          <w:i w:val="off"/>
        </w:rPr>
        <w:t>[50]跨媒介叙事创新：受众全过程参与式的IP传播_腾讯新闻</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ff"/>
          <w:i w:val="off"/>
        </w:rPr>
        <w:t>https://news.qq.com/rain/a/20250131A05XBJ00</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ff"/>
          <w:i w:val="off"/>
        </w:rPr>
        <w:t>[51]历史的正义、记忆与操控：当历史清算遭遇现实反噬，我们如何面对过去？（父辈之罪）书评</w:t>
      </w:r>
      <w:bookmarkEnd w:id="1135"/>
    </w:p>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ff"/>
          <w:i w:val="off"/>
        </w:rPr>
        <w:t>https://book.douban.com/review/16494570/</w:t>
      </w:r>
      <w:bookmarkEnd w:id="1136"/>
    </w:p>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ff"/>
          <w:i w:val="off"/>
        </w:rPr>
        <w:t>[52]Formalizing Oracle Trust Models for Blockchain-Based Business Applications. An Example from The Supply Chain Sector</w:t>
      </w:r>
      <w:bookmarkEnd w:id="1137"/>
    </w:p>
    <w:p>
      <w:pPr>
        <w:pageBreakBefore w:val="off"/>
        <w:tabs/>
        <w:wordWrap w:val="on"/>
        <w:spacing w:after="0" w:before="160"/>
        <w:ind w:left="0" w:right="0"/>
        <w:jc w:val="left"/>
        <w:textAlignment w:val="auto"/>
        <w:rPr>
          <w:sz w:val="24"/>
        </w:rPr>
      </w:pPr>
      <w:bookmarkStart w:id="1138" w:name=""/>
      <w:r>
        <w:rPr>
          <w:rFonts w:ascii="宋体" w:cs="宋体" w:eastAsia="宋体" w:hAnsi="宋体"/>
          <w:sz w:val="24"/>
          <w:spacing w:val="0"/>
          <w:b w:val="off"/>
          <w:i w:val="off"/>
        </w:rPr>
        <w:t>https://arxiv.org/abs/2202.13930</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ff"/>
          <w:i w:val="off"/>
        </w:rPr>
        <w:t>[53]AI伦理观察｜从“截洪流”到“堵水源”：AI生成谣言的治理升级_中国财经情报网</w:t>
      </w:r>
      <w:bookmarkEnd w:id="1139"/>
    </w:p>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ff"/>
          <w:i w:val="off"/>
        </w:rPr>
        <w:t>https://www.chinaso.com/link?url=kZIjPnmSPHKHjJLDhQl4LD05qSe6eYu/7q9U2%2BVGjT%2BFzeOfa7mnQ7Sm8DDCYG9YF7Aq9EwXIHtixEWnaS/w/Q==&amp;wd=AI+%E8%B0%A3%E8%A8%80%E6%B2%BB%E7%90%86+MCN+%E5%8F%91%E8%B0%A3</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ff"/>
          <w:i w:val="off"/>
        </w:rPr>
        <w:t>[54]Identifying blockchain-based cryptocurrency accounts using investment portfolios</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ff"/>
          <w:i w:val="off"/>
        </w:rPr>
        <w:t>https://arxiv.org/abs/2110.04394</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ff"/>
          <w:i w:val="off"/>
        </w:rPr>
        <w:t>[55]Distinguish Any Fake Videos: Unleashing the Power of Large-scale Data and Motion Features</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ff"/>
          <w:i w:val="off"/>
        </w:rPr>
        <w:t>https://arxiv.org/abs/2405.15343</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ff"/>
          <w:i w:val="off"/>
        </w:rPr>
        <w:t>[56]虚假新闻泛滥的深层成因与治理-中国社会科学网</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ff"/>
          <w:i w:val="off"/>
        </w:rPr>
        <w:t>https://www.cssn.cn/skgz/bwyc/202210/t20221020_5550588.shtml</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ff"/>
          <w:i w:val="off"/>
        </w:rPr>
        <w:t>[57]Karl Marx and the Blockchain</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https://arxiv.org/abs/2007.13346</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ff"/>
          <w:i w:val="off"/>
        </w:rPr>
        <w:t>[58]Authenticity in Authorship: The Writer's Integrity Framework for Verifying Human-Generated Text</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ff"/>
          <w:i w:val="off"/>
        </w:rPr>
        <w:t>https://arxiv.org/abs/2404.10781</w:t>
      </w:r>
      <w:bookmarkEnd w:id="1150"/>
    </w:p>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ff"/>
          <w:i w:val="off"/>
        </w:rPr>
        <w:t>[59]Preventing Spoliation of Evidence with Blockchain: A Perspective from South Asia</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ff"/>
          <w:i w:val="off"/>
        </w:rPr>
        <w:t>https://arxiv.org/abs/2107.14050</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ff"/>
          <w:i w:val="off"/>
        </w:rPr>
        <w:t>[60]Generative Models are Self-WaMarked: Declaring Model Authentication through re-generation</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ff"/>
          <w:i w:val="off"/>
        </w:rPr>
        <w:t>https://arxiv.org/abs/2402.16889</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ff"/>
          <w:i w:val="off"/>
        </w:rPr>
        <w:t>[61]司法行政（法律服务）案例库</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ff"/>
          <w:i w:val="off"/>
        </w:rPr>
        <w:t>https://alk.12348.gov.cn/Detail?dbID=44&amp;dbName=GGGY&amp;sysID=58</w:t>
      </w:r>
      <w:bookmarkEnd w:id="1156"/>
    </w:p>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[62]Implementing BERT and fine-tuned RobertA to detect AI generated news by ChatGPT</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ff"/>
          <w:i w:val="off"/>
        </w:rPr>
        <w:t>https://arxiv.org/abs/2306.07401</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[63]区块链技术辅助司法办案优势明显 - 都江堰市人民检察院</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http://www.cddjyjcy.gov.cn/zfxw/139093.jhtml</w:t>
      </w:r>
      <w:bookmarkEnd w:id="1160"/>
    </w:p>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ff"/>
          <w:i w:val="off"/>
        </w:rPr>
        <w:t>[64]TELeR: A General Taxonomy of LLM Prompts for Benchmark Complex Tasks</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ff"/>
          <w:i w:val="off"/>
        </w:rPr>
        <w:t>https://arxiv.org/abs/2305.11430</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ff"/>
          <w:i w:val="off"/>
        </w:rPr>
        <w:t>[65]An Efficient and Decentralized Blockchain-based Commercial Alternative (Full Version)</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ff"/>
          <w:i w:val="off"/>
        </w:rPr>
        <w:t>https://arxiv.org/abs/2210.08372</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ff"/>
          <w:i w:val="off"/>
        </w:rPr>
        <w:t>[66]南通通州区：构建党员教育电视片“同心三角”叙事模型</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ff"/>
          <w:i w:val="off"/>
        </w:rPr>
        <w:t>https://www.jsxf.gov.cn/xfjc/dyjy/art/2026/art_67d626fef6024f7cb867e408c8f2c1b5.html</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ff"/>
          <w:i w:val="off"/>
        </w:rPr>
        <w:t>[67]Blockchain applications in Healthcare: A model for research</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https://arxiv.org/abs/2008.05683</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ff"/>
          <w:i w:val="off"/>
        </w:rPr>
        <w:t>[68]全媒体时代出版IP的跨媒介叙事与产业协同_出版资讯_内蒙古出版集团</w:t>
      </w:r>
      <w:bookmarkEnd w:id="1169"/>
    </w:p>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ff"/>
          <w:i w:val="off"/>
        </w:rPr>
        <w:t>https://www.im-pg.com/zbzx/13277.shtml</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ff"/>
          <w:i w:val="off"/>
        </w:rPr>
        <w:t>[69]Blockchain and Cryptocurrency in Human Computer Interaction: A Systematic Literature Review and Research Agenda</w:t>
      </w:r>
      <w:bookmarkEnd w:id="1171"/>
    </w:p>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ff"/>
          <w:i w:val="off"/>
        </w:rPr>
        <w:t>https://arxiv.org/abs/2204.10857</w:t>
      </w:r>
      <w:bookmarkEnd w:id="1172"/>
    </w:p>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ff"/>
          <w:i w:val="off"/>
        </w:rPr>
        <w:t>[70]Broadening AI Ethics Narratives: An Indic Art View</w:t>
      </w:r>
      <w:bookmarkEnd w:id="1173"/>
    </w:p>
    <w:p>
      <w:pPr>
        <w:pageBreakBefore w:val="off"/>
        <w:tabs/>
        <w:wordWrap w:val="on"/>
        <w:spacing w:after="0" w:before="160"/>
        <w:ind w:left="0" w:right="0"/>
        <w:jc w:val="left"/>
        <w:textAlignment w:val="auto"/>
        <w:rPr>
          <w:sz w:val="24"/>
        </w:rPr>
      </w:pPr>
      <w:bookmarkStart w:id="1174" w:name=""/>
      <w:r>
        <w:rPr>
          <w:rFonts w:ascii="宋体" w:cs="宋体" w:eastAsia="宋体" w:hAnsi="宋体"/>
          <w:sz w:val="24"/>
          <w:spacing w:val="0"/>
          <w:b w:val="off"/>
          <w:i w:val="off"/>
        </w:rPr>
        <w:t>https://arxiv.org/abs/2204.03789</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ff"/>
          <w:i w:val="off"/>
        </w:rPr>
        <w:t>[71]跨媒介叙事创新-洞察及研究.docx-原创力文档</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ff"/>
          <w:i w:val="off"/>
        </w:rPr>
        <w:t>https://m.book118.com/html/2025/0725/6015145215011204.shtm</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ff"/>
          <w:i w:val="off"/>
        </w:rPr>
        <w:t>[72]STORYWARS: A Dataset and Instruction Tuning Baselines for Collaborative Story Understanding and Generation</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ff"/>
          <w:i w:val="off"/>
        </w:rPr>
        <w:t>https://arxiv.org/abs/2305.08152</w:t>
      </w:r>
      <w:bookmarkEnd w:id="1178"/>
    </w:p>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ff"/>
          <w:i w:val="off"/>
        </w:rPr>
        <w:t>[73]EALM: Introducing Multidimensional Ethical Alignment in Conversation Information Retrieval</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https://arxiv.org/abs/2310.00970</w:t>
      </w:r>
      <w:bookmarkEnd w:id="1180"/>
    </w:p>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ff"/>
          <w:i w:val="off"/>
        </w:rPr>
        <w:t>[74]主流媒体AI视听作品范式更新-中国社会科学网</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ff"/>
          <w:i w:val="off"/>
        </w:rPr>
        <w:t>https://www.cssn.cn/skgz/bwyc/202604/t20260409_5979769.shtml</w:t>
      </w:r>
      <w:bookmarkEnd w:id="1182"/>
    </w:p>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ff"/>
          <w:i w:val="off"/>
        </w:rPr>
        <w:t>[75]A Tree-based Construction for Verifiable Diplomas with Issuer Transparency</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ff"/>
          <w:i w:val="off"/>
        </w:rPr>
        <w:t>https://arxiv.org/abs/2109.11590</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ff"/>
          <w:i w:val="off"/>
        </w:rPr>
        <w:t>[76]2025新奥历史记录查询：深度调查背后的真相</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ff"/>
          <w:i w:val="off"/>
        </w:rPr>
        <w:t>http://www.kunyulawyer.com/a/news.php/43547188.shtml</w:t>
      </w:r>
      <w:bookmarkEnd w:id="1186"/>
    </w:p>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ff"/>
          <w:i w:val="off"/>
        </w:rPr>
        <w:t>[77]学霸带你领悟跨媒体叙事的深度与前沿探索_跨媒介叙事连贯性-CSDN博客</w:t>
      </w:r>
      <w:bookmarkEnd w:id="1187"/>
    </w:p>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ff"/>
          <w:i w:val="off"/>
        </w:rPr>
        <w:t>https://blog.csdn.net/stevenchen1989/article/details/141147489</w:t>
      </w:r>
      <w:bookmarkEnd w:id="1188"/>
    </w:p>
    <w:p>
      <w:pPr>
        <w:pageBreakBefore w:val="off"/>
        <w:tabs/>
        <w:wordWrap w:val="on"/>
        <w:spacing w:after="0" w:before="160"/>
        <w:ind w:left="0" w:right="0"/>
        <w:jc w:val="left"/>
        <w:textAlignment w:val="auto"/>
        <w:rPr>
          <w:sz w:val="24"/>
        </w:rPr>
      </w:pPr>
      <w:bookmarkStart w:id="1189" w:name=""/>
      <w:r>
        <w:rPr>
          <w:rFonts w:ascii="宋体" w:cs="宋体" w:eastAsia="宋体" w:hAnsi="宋体"/>
          <w:sz w:val="24"/>
          <w:spacing w:val="0"/>
          <w:b w:val="off"/>
          <w:i w:val="off"/>
        </w:rPr>
        <w:t>[78]2026新澳历史记录查询结果新：深度解读使用说明与关键识别方法</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ff"/>
          <w:i w:val="off"/>
        </w:rPr>
        <w:t>http://www.kunyulawyer.com/a/news.php/21256504.shtml?xinwen/20260417_2920623.shtml</w:t>
      </w:r>
      <w:bookmarkEnd w:id="1190"/>
    </w:p>
    <w:p>
      <w:pPr>
        <w:jc w:val="left"/>
      </w:pPr>
      <w:r>
        <w:rPr/>
        <w:t>(AI生成)</w:t>
      </w:r>
    </w:p>
    <w:sectPr>
      <w:footerReference r:id="rId3"/>
      <w:headerReference r:id="rId4"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2026-06-16T07:56:05Z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d1vv7glMVqtMcFgTj/KEiWdTgP6009fituMUldikQMs=","ProduceID":"doc_sgs:c3ea87a4-57f1-4663-aaff-065b472c82bd","ReservedCode2":"d1vv7glMVqtMcFgTj/KEiWdTgP6009fituMUldikQMs=","PropagateID":"doc_sgs:c3ea87a4-57f1-4663-aaff-065b472c82bd","ContentProducer":"001191440101MA9Y9T4H7A00000"}</vt:lpwstr>
  </property>
</Properties>
</file>