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3A5C"/>
          <w:sz w:val="48"/>
          <w:szCs w:val="48"/>
        </w:rPr>
        <w:t xml:space="preserve">TBH-Next 全技能联合复盘报告</w:t>
      </w:r>
    </w:p>
    <w:p>
      <w:pPr>
        <w:spacing w:after="400"/>
        <w:jc w:val="center"/>
      </w:pPr>
      <w:r>
        <w:rPr>
          <w:color w:val="666666"/>
          <w:sz w:val="20"/>
          <w:szCs w:val="20"/>
        </w:rPr>
        <w:t xml:space="preserve">独角兽猎手 × 软件管家 × 守门人 × Benchmark专家 × 产品布道者 × 技术架构师 × 项目管理员</w:t>
      </w:r>
    </w:p>
    <w:p>
      <w:pPr>
        <w:spacing w:after="600"/>
        <w:jc w:val="center"/>
      </w:pPr>
      <w:r>
        <w:rPr>
          <w:color w:val="999999"/>
          <w:sz w:val="22"/>
          <w:szCs w:val="22"/>
        </w:rPr>
        <w:t xml:space="preserve">2026-06-11</w:t>
      </w:r>
    </w:p>
    <w:p>
      <w:pPr>
        <w:pStyle w:val="Heading1"/>
      </w:pPr>
      <w:r>
        <w:t xml:space="preserve">一、执行摘要</w:t>
      </w:r>
    </w:p>
    <w:p>
      <w:pPr>
        <w:spacing w:after="200"/>
      </w:pPr>
      <w:r>
        <w:rPr>
          <w:b/>
          <w:bCs/>
          <w:color w:val="CC3300"/>
        </w:rPr>
        <w:t xml:space="preserve">核心矛盾：</w:t>
      </w:r>
      <w:r>
        <w:t xml:space="preserve">功能完成度95%但产品完成度&lt;20%——代码写了很多但没人用它做真实工作。41K行代码、213文件、56路由，只有创始人1个用户，PMF信号归零。</w:t>
      </w:r>
    </w:p>
    <w:p>
      <w:pPr>
        <w:pStyle w:val="Heading1"/>
      </w:pPr>
      <w:r>
        <w:t xml:space="preserve">二、独角兽猎手——五维生存力评估</w:t>
      </w:r>
    </w:p>
    <w:p>
      <w:r>
        <w:rPr>
          <w:i/>
          <w:iCs/>
          <w:color w:val="666666"/>
        </w:rPr>
        <w:t xml:space="preserve">所处阶段：产品原型→早期营收之间的鸿沟，最大挑战是零真实用户验证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900"/>
        <w:gridCol w:w="900"/>
        <w:gridCol w:w="48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得分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权重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加权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评语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价值(V)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0.25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1.50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痛点真实但付费迫切性未验证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成长性(G)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CC3300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0.20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CC3300"/>
                <w:sz w:val="18"/>
                <w:szCs w:val="18"/>
              </w:rPr>
              <w:t xml:space="preserve">0.40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零用户=零推荐=零自然增长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落地性(E)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0.30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2.10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1人+AI 8周产出41K行代码，执行力惊人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可投性(I)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CC3300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0.15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CC3300"/>
                <w:sz w:val="18"/>
                <w:szCs w:val="18"/>
              </w:rPr>
              <w:t xml:space="preserve">0.45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零收入零用户零外部验证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改进(Im)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0.10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0.80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停止新功能！3个月内唯一假设=“有人愿意持续用”</w:t>
            </w:r>
          </w:p>
        </w:tc>
      </w:tr>
    </w:tbl>
    <w:p>
      <w:pPr>
        <w:spacing w:after="200" w:before="200"/>
      </w:pPr>
      <w:r>
        <w:rPr>
          <w:b/>
          <w:bCs/>
          <w:color w:val="CC6600"/>
          <w:sz w:val="28"/>
          <w:szCs w:val="28"/>
        </w:rPr>
        <w:t xml:space="preserve">生存力指数：5.25/10</w:t>
      </w:r>
      <w:r>
        <w:t xml:space="preserve"> → 核心假设部分验证，需专注补短板</w:t>
      </w:r>
    </w:p>
    <w:p>
      <w:pPr>
        <w:pStyle w:val="Heading1"/>
      </w:pPr>
      <w:r>
        <w:t xml:space="preserve">三、产品布道者——产品方向与需求差距</w:t>
      </w:r>
    </w:p>
    <w:p>
      <w:pPr>
        <w:pStyle w:val="Heading2"/>
      </w:pPr>
      <w:r>
        <w:t xml:space="preserve">M0→M1差距对照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1500"/>
        <w:gridCol w:w="1000"/>
        <w:gridCol w:w="2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M1验证指标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目标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当前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补方向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内部日活&gt;5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≥5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CC3300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CC3300"/>
                <w:sz w:val="18"/>
                <w:szCs w:val="18"/>
              </w:rPr>
              <w:t xml:space="preserve">P0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邀请3人试用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留存&gt;30天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≥30天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未测量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CC3300"/>
                <w:sz w:val="18"/>
                <w:szCs w:val="18"/>
              </w:rPr>
              <w:t xml:space="preserve">P0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引导流程+7天跟踪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功能闭环完整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全链路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基本可用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8"/>
                <w:szCs w:val="18"/>
              </w:rPr>
              <w:t xml:space="preserve">P1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复盘/OKR深度不足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数据同步稳定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多端一致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仅Web单端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P2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PWA适配优先</w:t>
            </w:r>
          </w:p>
        </w:tc>
      </w:tr>
    </w:tbl>
    <w:p>
      <w:pPr>
        <w:pStyle w:val="Heading2"/>
      </w:pPr>
      <w:r>
        <w:t xml:space="preserve">核心问题</w:t>
      </w:r>
    </w:p>
    <w:p>
      <w:pPr>
        <w:spacing w:after="200"/>
      </w:pPr>
      <w:r>
        <w:rPr>
          <w:b/>
          <w:bCs/>
          <w:color w:val="CC3300"/>
        </w:rPr>
        <w:t xml:space="preserve">56个功能入口=56个认知负担≈功能蔓延的极致案例。</w:t>
      </w:r>
      <w:r>
        <w:t xml:space="preserve"> 产品方向应从“什么都能做”→“把一件事做到不可替代”，聚焦≤10人团队“最轻最AI”的管理工具。</w:t>
      </w:r>
    </w:p>
    <w:p>
      <w:pPr>
        <w:pStyle w:val="Heading1"/>
      </w:pPr>
      <w:r>
        <w:t xml:space="preserve">四、技术架构师——技术债务与架构健康度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6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评分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关键发现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Security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CC3300"/>
                <w:sz w:val="18"/>
                <w:szCs w:val="18"/>
              </w:rPr>
              <w:t xml:space="preserve">3/10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API Key硬编码客户端；无RPC代理；RLS未逐一验证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Stability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6/10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零页面测试；ErrorBoundary已覆盖；3个文件接近800行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7/10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初始加载730KB；82个懒加载分片；主包192KB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Collaboration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4/10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Realtime仅框架；无冲突检测；无OT/CRDT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Data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8/10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单zustand store集中化好；RLS框架在；行为事件27类型</w:t>
            </w:r>
          </w:p>
        </w:tc>
      </w:tr>
    </w:tbl>
    <w:p>
      <w:pPr>
        <w:pStyle w:val="Heading2"/>
      </w:pPr>
      <w:r>
        <w:t xml:space="preserve">Critical级债务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1500"/>
        <w:gridCol w:w="1200"/>
        <w:gridCol w:w="16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债务项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严重度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修复成本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影响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CC3300"/>
                <w:sz w:val="18"/>
                <w:szCs w:val="18"/>
              </w:rPr>
              <w:t xml:space="preserve">API Key暴露客户端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CC3300"/>
                <w:sz w:val="18"/>
                <w:szCs w:val="18"/>
              </w:rPr>
              <w:t xml:space="preserve">Critical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CC3300"/>
                <w:sz w:val="18"/>
                <w:szCs w:val="18"/>
              </w:rPr>
              <w:t xml:space="preserve">P0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D1≤5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CC6600"/>
                <w:sz w:val="18"/>
                <w:szCs w:val="18"/>
              </w:rPr>
              <w:t xml:space="preserve">零页面测试覆盖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8"/>
                <w:szCs w:val="18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CC3300"/>
                <w:sz w:val="18"/>
                <w:szCs w:val="18"/>
              </w:rPr>
              <w:t xml:space="preserve">P0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质量无保障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ReviewContent.tsx 791行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0.5天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P1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维护性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due_date为TEXT非DATE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P1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查询效率</w:t>
            </w:r>
          </w:p>
        </w:tc>
      </w:tr>
    </w:tbl>
    <w:p>
      <w:pPr>
        <w:pStyle w:val="Heading1"/>
      </w:pPr>
      <w:r>
        <w:t xml:space="preserve">五、Benchmark专家——竞品对标与差距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200"/>
        <w:gridCol w:w="1200"/>
        <w:gridCol w:w="1200"/>
        <w:gridCol w:w="1200"/>
        <w:gridCol w:w="1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TBH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飞书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钉钉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Linear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Monday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功能覆盖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UX体验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CC3300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性能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集成深度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CC3300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AI能力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落地交付力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CC3300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</w:tr>
    </w:tbl>
    <w:p>
      <w:pPr>
        <w:spacing w:after="200" w:before="100"/>
      </w:pPr>
      <w:r>
        <w:rPr>
          <w:b/>
          <w:bCs/>
          <w:color w:val="0066CC"/>
        </w:rPr>
        <w:t xml:space="preserve">蓝海机会：</w:t>
      </w:r>
      <w:r>
        <w:t xml:space="preserve">5强均面向50+人团队，≤10人轻量工具稀缺。差异化=轻量AI驱动，让飞书来对标我们的AI交互。</w:t>
      </w:r>
    </w:p>
    <w:p>
      <w:pPr>
        <w:pStyle w:val="Heading1"/>
      </w:pPr>
      <w:r>
        <w:t xml:space="preserve">六、项目管理员——效能度量与交付质量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800"/>
        <w:gridCol w:w="1500"/>
        <w:gridCol w:w="14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DORA指标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当前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Elite基线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差距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改善路径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部署频率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~1次/周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≥1次/天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CC3300"/>
                <w:sz w:val="18"/>
                <w:szCs w:val="18"/>
              </w:rPr>
              <w:t xml:space="preserve">7x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CI/CD自动化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变更前置时间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~2天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&lt;1h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CC3300"/>
                <w:sz w:val="18"/>
                <w:szCs w:val="18"/>
              </w:rPr>
              <w:t xml:space="preserve">48x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自动流水线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变更失败率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CC3300"/>
                <w:sz w:val="18"/>
                <w:szCs w:val="18"/>
              </w:rPr>
              <w:t xml:space="preserve">~40%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&lt;5%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CC3300"/>
                <w:sz w:val="18"/>
                <w:szCs w:val="18"/>
              </w:rPr>
              <w:t xml:space="preserve">8x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E2E测试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MTTR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~4h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&lt;1h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4x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监控+告警</w:t>
            </w:r>
          </w:p>
        </w:tc>
      </w:tr>
    </w:tbl>
    <w:p>
      <w:pPr>
        <w:pStyle w:val="Heading1"/>
      </w:pPr>
      <w:r>
        <w:t xml:space="preserve">七、守门人——独立审查三维度评分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00"/>
        <w:gridCol w:w="56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评分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关键缺失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D1 目标有效性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CC3300"/>
                <w:sz w:val="18"/>
                <w:szCs w:val="18"/>
              </w:rPr>
              <w:t xml:space="preserve">4/10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API Key暴露+无E2E验证+DoD仅“构建通过”而非用户可操作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D2 过程效率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8"/>
                <w:szCs w:val="18"/>
              </w:rPr>
              <w:t xml:space="preserve">5/10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50%增值+40%返工+56模块中约20个“没人要的维生素”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D3 可进化性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6/10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0个ADR+56模块无分层+7个文件&gt;500行</w:t>
            </w:r>
          </w:p>
        </w:tc>
      </w:tr>
    </w:tbl>
    <w:p>
      <w:pPr>
        <w:spacing w:before="100"/>
      </w:pPr>
      <w:r>
        <w:rPr>
          <w:b/>
          <w:bCs/>
          <w:color w:val="CC3300"/>
        </w:rPr>
        <w:t xml:space="preserve">必须修改项：</w:t>
      </w:r>
      <w:r>
        <w:t xml:space="preserve">部署RPC代理移除客户端API Key（D1从4→6的关键一步）</w:t>
      </w:r>
    </w:p>
    <w:p>
      <w:pPr>
        <w:pStyle w:val="Heading1"/>
      </w:pPr>
      <w:r>
        <w:t xml:space="preserve">八、进化方向与落地措施</w:t>
      </w:r>
    </w:p>
    <w:p>
      <w:pPr>
        <w:pStyle w:val="Heading2"/>
      </w:pPr>
      <w:r>
        <w:t xml:space="preserve">立即行动（1-3月）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3500"/>
        <w:gridCol w:w="1500"/>
        <w:gridCol w:w="136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事项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具体动作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成功标准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时限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核心流程瘦身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56模块→10一级入口，其余隐藏到“更多”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新用户3步创建任务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3天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M1用户验证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邀请3人试用，手把手引导+7天跟踪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≥2人连续7天登录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本周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CC3300"/>
                <w:sz w:val="18"/>
                <w:szCs w:val="18"/>
              </w:rPr>
              <w:t xml:space="preserve">安全RPC代理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Supabase SQL函数代理DeepSeek API调用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客户端零API Key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2天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核心路径E2E测试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任务/目标/项目CRUD的Vitest测试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覆盖率&gt;60%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5天</w:t>
            </w:r>
          </w:p>
        </w:tc>
      </w:tr>
    </w:tbl>
    <w:p>
      <w:pPr>
        <w:pStyle w:val="Heading2"/>
      </w:pPr>
      <w:r>
        <w:t xml:space="preserve">中期攻坚（3-12月）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AI Phase2：风险预测+智能拆解两个子功能先行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开放API+Webhook框架：解决集成深度1/5的生态孤岛问题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移动端PWA适配：达成M2跨平台验证</w:t>
      </w:r>
    </w:p>
    <w:p>
      <w:pPr>
        <w:pStyle w:val="Heading2"/>
      </w:pPr>
      <w:r>
        <w:t xml:space="preserve">长期超越（12月+）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成为“≤10人团队AI管理工具”标杆——让飞书来对标我们的AI交互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“数据即行动”闭环引擎达Phase 3-4：人员-任务智能匹配+战略级联</w:t>
      </w:r>
    </w:p>
    <w:p>
      <w:pPr>
        <w:pStyle w:val="Heading1"/>
      </w:pPr>
      <w:r>
        <w:t xml:space="preserve">九、关键度量指标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生存力指数：5.25 → 目标7.0（PMF已显，进入增长加速）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守门人三维度：D1=4/D2=5/D3=6 → 目标全部≥9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DORA变更失败率：40% → 目标&lt;10%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M1验证：日活0 → 目标&gt;5，留存无 → 目标&gt;30天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Benchmark均分：2.4/5 → 目标3.5/5（差距缩小40%）</w:t>
      </w:r>
    </w:p>
    <w:p>
      <w:pPr>
        <w:spacing w:before="600"/>
        <w:jc w:val="center"/>
      </w:pPr>
      <w:r>
        <w:rPr>
          <w:color w:val="999999"/>
          <w:sz w:val="20"/>
          <w:szCs w:val="20"/>
        </w:rPr>
        <w:t xml:space="preserve">— 报告结束 —</w:t>
      </w:r>
    </w:p>
    <w:p>
      <w:pPr>
        <w:jc w:val="right"/>
      </w:pPr>
      <w:r>
        <w:rPr>
          <w:sz w:val="24"/>
          <w:color w:val="A6A6A6"/>
        </w:rPr>
        <w:t>AI生成</w:t>
      </w:r>
    </w:p>
    <w:p>
      <w:pPr>
        <w:jc w:val="right"/>
      </w:pPr>
      <w:r>
        <w:rPr>
          <w:vanish/>
          <w:sz w:val="16"/>
          <w:color w:val="BFBFBF"/>
        </w:rPr>
        <w:t>AIGC标识: 86391aed-df98-429b-9611-f4b116ca499e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第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TBH-Next 全技能联合复盘报告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C5F8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A7CB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2026-06-11T12:20:18.796Z</dcterms:created>
  <dcterms:modified xsi:type="dcterms:W3CDTF">2026-06-11T12:20:18.798Z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D55U9H0F10002","ProduceID":"86391aed-df98-429b-9611-f4b116ca499e","ReservedCode1":"db775f6d-f37e-431b-a2cb-99e11497dc1d","ContentPropagator":"001191110102MAD55U9H0F10002","PropagateID":"86391aed-df98-429b-9611-f4b116ca499e","ReservedCode2":"db775f6d-f37e-431b-a2cb-99e11497dc1d"}</vt:lpwstr>
  </property>
</Properties>
</file>