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TBH 五维度第一性原理重设计方案 v2.0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软件管家调度 | 产品布道者+技术架构师审查反馈已纳入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2026-05-30 | v2.0修订: 定价重构+AI计费+Auth统一+基础设施补齐</w:t>
      </w:r>
    </w:p>
    <w:p>
      <w:r>
        <w:br w:type="page"/>
      </w:r>
    </w:p>
    <w:p>
      <w:pPr>
        <w:pStyle w:val="Heading1"/>
      </w:pPr>
      <w:r>
        <w:t xml:space="preserve">一、v1.0→v2.0 修订摘要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本次修订基于产品布道者和技术架构师的联合审查反馈，修正5项硬伤：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定价重构: ¥10/人/年 → Pro ¥12/人/月 + Enterprise ¥25/人/月(仍为市场最低1/3)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AI计费三层: Local(免费)+Cloud AI(¥0.1/次,免10/天)+Agent Automation(付费独占)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免费版调整: ≤5人(非10人),第6人起触发付费(邀请同事=病毒传播+付费双杠杆)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新增邮箱Magic Link登录(V1-4),补齐用户要求的微信/邮箱/手机号三通道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补齐5项基础设施(M1-M5): Auth Bridge/Auth同步/推送管道/DB迁移/PWA Spike</w:t>
      </w:r>
    </w:p>
    <w:p>
      <w:r>
        <w:br w:type="page"/>
      </w:r>
    </w:p>
    <w:p>
      <w:pPr>
        <w:pStyle w:val="Heading1"/>
      </w:pPr>
      <w:r>
        <w:t xml:space="preserve">二、定价策略(修订)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核心原则: </w:t>
      </w:r>
      <w:r>
        <w:rPr>
          <w:rFonts w:ascii="Arial" w:cs="Arial" w:eastAsia="Arial" w:hAnsi="Arial"/>
          <w:sz w:val="20"/>
          <w:szCs w:val="20"/>
        </w:rPr>
        <w:t xml:space="preserve">免费给够让用户离不开,付费设槛让用户愿意付。AI是最大付费杠杆。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TBH (v2.0修订)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飞书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ClickUp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免费版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≤5人全功能+Local AI免费+Cloud AI 10次/天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≤50人+10GB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无限任务+100MB+受限视图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无限页面+5MB文件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≤250issue+≤10人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Pro版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¥12/人/月(年付¥115/人,8折)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¥36/人/月(商业版)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$7/人/月(Unlimited)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$10/人/月(Plus)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$8/人/月(Standard)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¥25/人/月(年付¥240/人)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¥60/人/月(旗舰版)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$12/人/月(Business)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$18/人/月(Business)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$14/人/月(Plus)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AI计费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Local免费+Cloud ¥0.1/次(免10/天)+Agent Automation付费独占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AI对话免费+智能伙伴企业版付费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AI免费限制次数+付费扩容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AI按用量计费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无原生AI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付费触发点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第6人起+Cloud AI超额+Agent自动化+OKR审批+高级权限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存储+高级权限+OKR导出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视图/自动化/仪表盘逐级解锁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AI用量+权限+页面历史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Issue数+高级视图+OIDC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AI计费三层模型: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560"/>
        <w:gridCol w:w="26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计费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22个AI模块的同步规则引擎(无外部API调用)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完全免费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所有用户(含免费版)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异步LLM调用(风险预测/目标分解/智能匹配等Deep模式)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前10次/天免费，之后¥0.1/次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活跃用户(自然触发付费)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Automation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Agent自动执行+审批流+定时任务+Agent Marketplace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Pro及以上独占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付费团队(核心付费杠杆)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付费触发点设计: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第6人起必须升级(邀请同事=自然付费触发,飞书/Notion均验证此模式有效)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Cloud AI超过10次/天后按量计费(活跃用户自然触发,无需主观决策)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Agent自动化/OKR审批流/高级权限=Pro独占(功能门禁,免费可见不可操作)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14天Pro试用+试用期后数据不删(消除付费恐惧,沉没成本驱动转化)</w:t>
      </w:r>
    </w:p>
    <w:p>
      <w:r>
        <w:br w:type="page"/>
      </w:r>
    </w:p>
    <w:p>
      <w:pPr>
        <w:pStyle w:val="Heading1"/>
      </w:pPr>
      <w:r>
        <w:t xml:space="preserve">三、基础设施(M1-M5)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技术架构师审查识别的5项缺失基础设施,必须先行于功能开发: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160"/>
        <w:gridCol w:w="14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代码级动作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统一认证架构层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LoginScreen重构为状态机(idle→authenticating→callback→authenticated);AuthBridge统一同步/异步分支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src/lib/authBridge.ts(新) / src/App.tsx(LoginScreen)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Auth↔members同步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auth.users创建时→members表自动插入(auth.uid外键);user_metadata存wechatId/phone;RLS渐进迁移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src/lib/authSync.ts(新) / supabase/functions/auth-sync/(新)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统一推送管道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PushPipe抽象层:sendPush(event)→路由到IM/SW/AI;VAPID+pushSubscription管理;browserNotify降级为SW fallback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src/lib/pushPipe.ts(新) / src/lib/browserNotify.ts / src/lib/pushEventEngine.ts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数据库迁移基础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新增goal_approval_status列+approval_audit表+subscriptions表+plan_limits表;Supabase migration 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supabase/migrations/(新) / src/types/index.ts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 PWA兼容验证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vite-plugin-pwa@0.20.x安装+pnpm build验证+manualChunks兼容性测试+CDN_BASE scope验证;失败则降级方案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vite.config.ts / pnpm-lock.yaml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四、Phase 1 代码级实施方案(修订)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修订后24项(5基础设施+19功能),总工时约94天。按2人并行约7周完成。</w:t>
      </w:r>
    </w:p>
    <w:p>
      <w:pPr>
        <w:pStyle w:val="Heading2"/>
      </w:pPr>
      <w:r>
        <w:t xml:space="preserve">实施顺序(依赖关系)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依赖关系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 → V1-1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Spike验证通过后才能实施PWA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pnpm build通过+vite-plugin-pwa兼容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 → V1-2/V1-3/V1-4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Bridge是所有新登录方式的前置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LoginScreen状态机重构完成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M1+M2 → V1-2/V1-3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OAuth/OTP都需要Auth↔members同步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auth.users↔members映射层就绪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 → V1-5 → V1-1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Pipe统一后AI推送和PWA Push才有管道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三路由(IM/SW/AI)抽象完成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 → V2-2/V2-3/V5-3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DB迁移基础是字段+表变更的前提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SQL就绪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V1-1(PWA) → V1-5(AI推送)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Push API是推送的前提条件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SW注册+VAPID配置完成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V3-1 → V3-2/V3-3/V3-4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设计系统是UI变更的前置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Token+组件就绪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V5-1 → V5-2 → V5-3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门禁→Paywall→Stripe顺序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免费/付费界限明确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完整实施清单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M1-M5为基础设施(橙色底色),V1-V5为功能项(蓝/白交替底色)。按依赖关系顺序实施。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80"/>
        <w:gridCol w:w="148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代码级动作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涉及文件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 PWA Spike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vite-plugin-pwa@0.20.x安装+pnpm build通过验证+manualChunks兼容+CDN_BASE scope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vite.config.ts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Bridge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LoginScreen状态机重构+AuthBridge统一入口+同步/异步分支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src/lib/authBridge.ts(新)/src/App.tsx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Auth↔members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auth.users→members自动同步+user_metadata+JWT claims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src/lib/authSync.ts(新)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Pipe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PushPipe抽象(IM/SW/AI三路由)+VAPID+browserNotify降级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src/lib/pushPipe.ts(新)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Migration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approval_status+subscriptions+plan_limits表+RLS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supabase/migrations/(新)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PWA移动化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vite-plugin-pwa+manifest.json+SW注册+离线策略(AppShell+StaleWhileRevalidate)+Push API注册+install prompt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vite.config.ts/manifest.json/src/sw.ts(新)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企微OAuth登录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silentAuthorize→callback→AuthBridge→autoLogin;Edge Function验证code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src/App.tsx/src/lib/wechatOAuth.ts(新)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手机号OTP登录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phone OTP+短信网关;AuthBridge分支;6位验证码UI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src/lib/phoneAuth.ts(新)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邮箱Magic Link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email OTP;LoginScreen邮箱Tab;新注册→members自动同步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src/App.tsx/src/lib/emailAuth.ts(新)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AI主动推送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PushPipe新增AI事件源(风险/延期/瓶颈);24h去重;深层链接附带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src/lib/pushPipe.ts/src/lib/aiPushEngine.ts(新)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对齐图健康度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对齐线颜色编码(绿≥80%/黄60-80%/红&lt;60%);支撑度计算;低60%自动告警→PushPipe推送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src/pages/admin/OKRAlignmentTab.tsx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KR↔任务双向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types.Task.krId已有;KR进度=关联任务加权完成率;任务完成→KR自更新;KR详情显示关联任务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src/store/taskSlice.ts/src/components/DetailKRs.tsx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目标审批流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approval_status字段(draft→pending→approved→rejected);审批操作→PushPipe+评论链;审批历史可追溯;Pro版独占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src/lib/approvalFlow.ts(新)/src/store/goalSlice.ts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设计系统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Token(语义色+间距+圆角+阴影);补8个shadcn/ui组件;暗色模式CSS变量;单行JSX lint规则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tailwind.config.js/src/components/ui/*.tsx/src/index.css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Dashboard重设计I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核心信息架构:紧凑左导航+数据卡片+AI洞察流+快操作栏;减少50%视觉噪声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src/pages/Dashboard.tsx/src/components/layout/Layout.tsx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Dashboard重设计II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视觉打磨+暗色模式适配+响应式断点+数据可视化升级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src/pages/dashboard/*.tsx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微交互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button hover/active+表单校验动画+列表操作反馈+Toast升级+骨架屏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src/components/ui/*.tsx/src/index.css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AI嵌入评论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@AI触发→AI能力选择(分解/评估/匹配)→LLM调用→结构化回复→一键采纳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src/components/DetailComments.tsx/src/lib/aiCommentAssistant.ts(新)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Discovery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tools/discovery API+OpenAPI 3.1 Schema自动生成+沙箱测试环境+5分钟快速入门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src/lib/mcpServer.ts/src/lib/mcpDiscovery.ts(新)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Cmd+K AI增强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AI指令:分解目标/评估风险/智能排期;结果预览+确认执行;减少页面跳转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src/components/CommandPalette/index.tsx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功能门禁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isFreeTier/checkLimit/gatedAction;免费≤5人/Cloud AI 10次/天/无Agent自动化/无OKR审批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src/lib/featureGating.ts(新)/src/store/useStore.tsx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Paywall UI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升级弹窗(CTA高亮+价值主张+对比表+14天Pro试用);当前用量vs限额进度条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src/components/Paywall.tsx(新)/UsageMeter.tsx(新)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Stripe集成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Checkout Session+Edge Function Webhook(幂等性去重)+年/月订阅+席位计费;2天专门测试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src/lib/stripeIntegration.ts(新)/supabase/functions/stripe-webhook/(新)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五、度量指标与验收标准(修订)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228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当前基线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3个月目标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度量方法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 交互效率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PWA / 纯密码登录 / 纯异步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PWA≥80分 / 企微+手机+邮箱登录可用 / AI推送&gt;95%到达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/ 登录成功率 / 推送送达率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架构逻辑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对齐图静态 / KR单关联 / 无审批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对齐图周活率&gt;60% / KR-任务双向关联 / 审批MVP(Pro独占)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打开次数 / 关联率 / 审批完成率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 界面美观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 无设计系统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 设计系统+暗色+微交互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LCP≤2.5s/CLS≤0.1/用户NPS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 AI深度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AI被动调用 / 无评论集成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AI评论占比&gt;20% / MCP discovery / Cmd+K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AI交互次数/总交互 / MCP调用率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V5 付费吸引力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0%转化率 / 无付费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试用团队&gt;100 / 付费团队&gt;10 / MRR&gt;¥5000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转化漏斗 / MRR / NPS&gt;30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六、关键风险与缓解(修订)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PWA插件兼容性风险 → M5先做Spike验证(1天),失败则降级为简单manifest+手动SW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Auth架构迁移风险 → 渐进策略:新登录走Supabase Auth,旧localStorage保留为fallback,Phase 2统一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Stripe Edge Function风险 → 幂等性去重(Stripe Event ID)+专注2天端到端测试+Seat billing推迟到Phase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推送管道三路由风险 → M3统一抽象PushPipe,单一路由点便于调试和监控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暗色模式工作量风险 → 分批改造:先Dashboard/Goals(2周)→Projects/Tasks(1周)→Admin(后续)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单行JSX约束 → 新增ESLint规则强制检查,CI构建自动拦截</w:t>
      </w:r>
    </w:p>
    <w:p>
      <w:r>
        <w:br w:type="page"/>
      </w:r>
    </w:p>
    <w:p>
      <w:pPr>
        <w:pStyle w:val="Heading1"/>
      </w:pPr>
      <w:r>
        <w:t xml:space="preserve">七、战略定位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核心命题: </w:t>
      </w:r>
      <w:r>
        <w:rPr>
          <w:rFonts w:ascii="Arial" w:cs="Arial" w:eastAsia="Arial" w:hAnsi="Arial"/>
          <w:sz w:val="20"/>
          <w:szCs w:val="20"/>
        </w:rPr>
        <w:t xml:space="preserve">TBH拥有最强的AI大脑,但缺少连接团队日常的神经网络。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战略选择: </w:t>
      </w:r>
      <w:r>
        <w:rPr>
          <w:rFonts w:ascii="Arial" w:cs="Arial" w:eastAsia="Arial" w:hAnsi="Arial"/>
          <w:sz w:val="20"/>
          <w:szCs w:val="20"/>
        </w:rPr>
        <w:t xml:space="preserve">做'中小团队的AI目标中台'——用OKR-KPI双轨+AI预测+MCP Agent生态构建差异化定位,不与飞书正面硬刚IM。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 优先级: </w:t>
      </w:r>
      <w:r>
        <w:rPr>
          <w:rFonts w:ascii="Arial" w:cs="Arial" w:eastAsia="Arial" w:hAnsi="Arial"/>
          <w:sz w:val="20"/>
          <w:szCs w:val="20"/>
        </w:rPr>
        <w:t xml:space="preserve">基础设施(M1-M5) → 认证+PWA(在哪用) → AI推送(为啥用) → 付费系统(怎么活) → UI重设计(怎么看) → AI嵌入(怎么深)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让用户先在手机上用起来,再让AI主动找到用户,再让高级功能值得付费,最后让界面配得上能力。——最务实的进化路径。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TBH 五维度重设计方案 v2.0 |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E40AF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2026-05-29T21:43:49.961Z</dcterms:created>
  <dcterms:modified xsi:type="dcterms:W3CDTF">2026-05-29T21:43:49.962Z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