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1483C" w14:textId="77777777" w:rsidR="00946303" w:rsidRPr="00946303" w:rsidRDefault="00946303" w:rsidP="00946303">
      <w:pPr>
        <w:spacing w:before="84"/>
        <w:jc w:val="center"/>
        <w:rPr>
          <w:rFonts w:ascii="Arial" w:hAnsi="Arial" w:cs="Arial"/>
          <w:b/>
          <w:bCs/>
          <w:color w:val="000000"/>
          <w:sz w:val="52"/>
          <w:szCs w:val="52"/>
        </w:rPr>
      </w:pPr>
      <w:r w:rsidRPr="00946303">
        <w:rPr>
          <w:rFonts w:ascii="Arial" w:hAnsi="Arial" w:cs="Arial"/>
          <w:b/>
          <w:bCs/>
          <w:color w:val="000000"/>
          <w:sz w:val="52"/>
          <w:szCs w:val="52"/>
        </w:rPr>
        <w:t>Bedrock Business Utility</w:t>
      </w:r>
    </w:p>
    <w:p w14:paraId="4E779A78" w14:textId="77777777"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 xml:space="preserve">Utility Service Provider </w:t>
      </w:r>
    </w:p>
    <w:p w14:paraId="373DD78B" w14:textId="775B1415"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Request for Proposal</w:t>
      </w:r>
    </w:p>
    <w:p w14:paraId="7C1E6089" w14:textId="77777777" w:rsidR="00946303" w:rsidRDefault="00946303" w:rsidP="00946303">
      <w:pPr>
        <w:spacing w:before="84"/>
        <w:jc w:val="center"/>
        <w:rPr>
          <w:rStyle w:val="Strong"/>
        </w:rPr>
      </w:pPr>
    </w:p>
    <w:p w14:paraId="5A82B21B" w14:textId="77777777" w:rsidR="00946303" w:rsidRPr="00F751D1" w:rsidRDefault="00946303" w:rsidP="00946303">
      <w:pPr>
        <w:jc w:val="center"/>
        <w:rPr>
          <w:rStyle w:val="Strong"/>
        </w:rPr>
      </w:pPr>
      <w:r w:rsidRPr="00F751D1">
        <w:rPr>
          <w:rStyle w:val="Strong"/>
        </w:rPr>
        <w:t>Version 1</w:t>
      </w:r>
    </w:p>
    <w:p w14:paraId="62F7AD78" w14:textId="45F848F3" w:rsidR="00946303" w:rsidRDefault="00946303" w:rsidP="00946303">
      <w:pPr>
        <w:jc w:val="center"/>
      </w:pPr>
      <w:r>
        <w:t>2020-04-17</w:t>
      </w:r>
    </w:p>
    <w:p w14:paraId="52C6B181" w14:textId="77777777" w:rsidR="00946303" w:rsidRDefault="00946303" w:rsidP="00946303">
      <w:pPr>
        <w:jc w:val="center"/>
      </w:pPr>
    </w:p>
    <w:p w14:paraId="2B9484B2" w14:textId="77777777" w:rsidR="00946303" w:rsidRDefault="00946303" w:rsidP="00946303">
      <w:pPr>
        <w:jc w:val="center"/>
      </w:pPr>
    </w:p>
    <w:p w14:paraId="7BB36A8A" w14:textId="77777777" w:rsidR="00946303" w:rsidRDefault="00946303" w:rsidP="00946303">
      <w:pPr>
        <w:jc w:val="center"/>
      </w:pPr>
    </w:p>
    <w:p w14:paraId="2D0B3415" w14:textId="77777777" w:rsidR="00946303" w:rsidRDefault="00946303" w:rsidP="00946303">
      <w:pPr>
        <w:jc w:val="center"/>
      </w:pPr>
    </w:p>
    <w:p w14:paraId="21D9DE86" w14:textId="77777777" w:rsidR="00946303" w:rsidRDefault="00946303" w:rsidP="00946303">
      <w:pPr>
        <w:jc w:val="center"/>
      </w:pPr>
      <w:r>
        <w:rPr>
          <w:noProof/>
        </w:rPr>
        <w:drawing>
          <wp:inline distT="0" distB="0" distL="0" distR="0" wp14:anchorId="20526B5A" wp14:editId="14ED14A5">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3E3A8CCD" w14:textId="77777777" w:rsidR="00946303" w:rsidRDefault="00946303" w:rsidP="00946303"/>
    <w:p w14:paraId="6738714F" w14:textId="77777777" w:rsidR="00946303" w:rsidRDefault="00946303" w:rsidP="00946303">
      <w:pPr>
        <w:jc w:val="center"/>
      </w:pPr>
    </w:p>
    <w:p w14:paraId="7B5FBF8F" w14:textId="57B23A6F" w:rsidR="00946303" w:rsidRDefault="00F25E93" w:rsidP="00946303">
      <w:pPr>
        <w:jc w:val="center"/>
      </w:pPr>
      <w:hyperlink r:id="rId6" w:history="1">
        <w:r>
          <w:rPr>
            <w:rStyle w:val="Hyperlink"/>
          </w:rPr>
          <w:t>http://bbu.bedrockconsortium.org/</w:t>
        </w:r>
      </w:hyperlink>
    </w:p>
    <w:p w14:paraId="2344C551" w14:textId="77777777" w:rsidR="00946303" w:rsidRDefault="00946303" w:rsidP="00946303">
      <w:pPr>
        <w:rPr>
          <w:rFonts w:ascii="ÿÑ˛" w:hAnsi="ÿÑ˛" w:cs="ÿÑ˛"/>
          <w:color w:val="000000"/>
          <w:sz w:val="52"/>
          <w:szCs w:val="52"/>
        </w:rPr>
      </w:pPr>
      <w:r>
        <w:rPr>
          <w:rFonts w:ascii="ÿÑ˛" w:hAnsi="ÿÑ˛" w:cs="ÿÑ˛"/>
          <w:color w:val="000000"/>
          <w:sz w:val="52"/>
          <w:szCs w:val="52"/>
        </w:rPr>
        <w:br w:type="page"/>
      </w:r>
    </w:p>
    <w:p w14:paraId="2155A68F" w14:textId="18456EDE" w:rsidR="00946303" w:rsidRDefault="00946303" w:rsidP="00C5227F">
      <w:pPr>
        <w:pStyle w:val="Heading2"/>
      </w:pPr>
      <w:r w:rsidRPr="00946303">
        <w:lastRenderedPageBreak/>
        <w:t>Background/Introduction</w:t>
      </w:r>
    </w:p>
    <w:p w14:paraId="73FBD3CA" w14:textId="1ABC7B2B" w:rsidR="00946303" w:rsidRDefault="00946303" w:rsidP="00946303">
      <w:r w:rsidRPr="00946303">
        <w:t>The </w:t>
      </w:r>
      <w:r w:rsidRPr="00946303">
        <w:rPr>
          <w:b/>
          <w:bCs/>
        </w:rPr>
        <w:t>Bedrock Consortium</w:t>
      </w:r>
      <w:r w:rsidRPr="00946303">
        <w:t> ("Consortium") is a private-sector, international non-profit association of companies that share a common interest in collaborating on the governance of a dedicated trusted decentralized identity utility that can reliably serve the physical and online identity needs of international commerce. The Consortium is focused on the governance of a dedicated decentralized identity utility for trusted commerce.</w:t>
      </w:r>
    </w:p>
    <w:p w14:paraId="4BCDEFD2" w14:textId="367624E7" w:rsidR="00946303" w:rsidRDefault="00946303" w:rsidP="00946303"/>
    <w:p w14:paraId="6D72950C" w14:textId="054AE7A5" w:rsidR="00946303" w:rsidRDefault="00946303" w:rsidP="00946303">
      <w:r>
        <w:t xml:space="preserve">The Consortium </w:t>
      </w:r>
      <w:r w:rsidR="000D6519">
        <w:t xml:space="preserve">operates a non-profit legal entity, the </w:t>
      </w:r>
      <w:r w:rsidR="000D6519" w:rsidRPr="000D6519">
        <w:rPr>
          <w:b/>
          <w:bCs/>
        </w:rPr>
        <w:t>Bedrock Business Utility</w:t>
      </w:r>
      <w:r w:rsidR="000D6519">
        <w:t xml:space="preserve"> (“BBU”), that is an instance of a </w:t>
      </w:r>
      <w:r w:rsidR="000D6519" w:rsidRPr="000D6519">
        <w:rPr>
          <w:i/>
          <w:iCs/>
        </w:rPr>
        <w:t>Linux Foundation Directed Fund Project</w:t>
      </w:r>
      <w:r w:rsidR="000D6519">
        <w:t xml:space="preserve">. The BBU represents an identity utility network that operates in accordance with the </w:t>
      </w:r>
      <w:hyperlink r:id="rId7" w:history="1">
        <w:r w:rsidR="000D6519" w:rsidRPr="000D6519">
          <w:rPr>
            <w:rStyle w:val="Hyperlink"/>
          </w:rPr>
          <w:t>BBU Governance Framework</w:t>
        </w:r>
      </w:hyperlink>
      <w:r w:rsidR="000D6519">
        <w:t xml:space="preserve"> </w:t>
      </w:r>
      <w:r w:rsidR="000D6519" w:rsidRPr="000D6519">
        <w:rPr>
          <w:i/>
          <w:iCs/>
        </w:rPr>
        <w:t>(currently under development).</w:t>
      </w:r>
      <w:r w:rsidR="000D6519">
        <w:t xml:space="preserve"> </w:t>
      </w:r>
    </w:p>
    <w:p w14:paraId="25A55B31" w14:textId="53A82DC2" w:rsidR="000D6519" w:rsidRDefault="000D6519" w:rsidP="00946303"/>
    <w:p w14:paraId="75F045D6" w14:textId="0BE47D6F" w:rsidR="000D6519" w:rsidRDefault="000D6519" w:rsidP="00946303">
      <w:r>
        <w:t xml:space="preserve">The BBU aims to be a </w:t>
      </w:r>
      <w:r w:rsidRPr="000D6519">
        <w:rPr>
          <w:i/>
          <w:iCs/>
        </w:rPr>
        <w:t>first-of-a-kind</w:t>
      </w:r>
      <w:r>
        <w:t xml:space="preserve"> identity utility network based on the concepts proposed by the </w:t>
      </w:r>
      <w:hyperlink r:id="rId8" w:history="1">
        <w:r w:rsidRPr="000D6519">
          <w:rPr>
            <w:rStyle w:val="Hyperlink"/>
          </w:rPr>
          <w:t>Trust over IP Foundation</w:t>
        </w:r>
      </w:hyperlink>
      <w:r>
        <w:t>. To achieve this goal, the Consortium requires the services of a Utility Service Provider in the form of an annual contract with the necessary service-level-agreements (SLAs) for the operation and maintenance of the BBU.</w:t>
      </w:r>
    </w:p>
    <w:p w14:paraId="57ACBEF3" w14:textId="19264FE3" w:rsidR="00C5227F" w:rsidRDefault="00C5227F" w:rsidP="00946303"/>
    <w:tbl>
      <w:tblPr>
        <w:tblStyle w:val="TableGrid"/>
        <w:tblW w:w="0" w:type="auto"/>
        <w:tblInd w:w="175" w:type="dxa"/>
        <w:tblLook w:val="04A0" w:firstRow="1" w:lastRow="0" w:firstColumn="1" w:lastColumn="0" w:noHBand="0" w:noVBand="1"/>
      </w:tblPr>
      <w:tblGrid>
        <w:gridCol w:w="3330"/>
        <w:gridCol w:w="5845"/>
      </w:tblGrid>
      <w:tr w:rsidR="00C5227F" w14:paraId="3235117A" w14:textId="77777777" w:rsidTr="00C5227F">
        <w:tc>
          <w:tcPr>
            <w:tcW w:w="3330" w:type="dxa"/>
          </w:tcPr>
          <w:p w14:paraId="318F6A58" w14:textId="1AD35DC3" w:rsidR="00C5227F" w:rsidRPr="00C5227F" w:rsidRDefault="00C5227F" w:rsidP="00946303">
            <w:pPr>
              <w:rPr>
                <w:b/>
                <w:bCs/>
              </w:rPr>
            </w:pPr>
            <w:r w:rsidRPr="00C5227F">
              <w:rPr>
                <w:b/>
                <w:bCs/>
              </w:rPr>
              <w:t>Project Name</w:t>
            </w:r>
          </w:p>
        </w:tc>
        <w:tc>
          <w:tcPr>
            <w:tcW w:w="5845" w:type="dxa"/>
          </w:tcPr>
          <w:p w14:paraId="65EF8E5A" w14:textId="577006B1" w:rsidR="00C5227F" w:rsidRDefault="00C5227F" w:rsidP="00946303">
            <w:r>
              <w:t>Utility Service Provider Contract</w:t>
            </w:r>
          </w:p>
        </w:tc>
      </w:tr>
      <w:tr w:rsidR="00C5227F" w14:paraId="64E2563D" w14:textId="77777777" w:rsidTr="00C5227F">
        <w:tc>
          <w:tcPr>
            <w:tcW w:w="3330" w:type="dxa"/>
          </w:tcPr>
          <w:p w14:paraId="38EC35AF" w14:textId="3C6FBAF5" w:rsidR="00C5227F" w:rsidRPr="00C5227F" w:rsidRDefault="00C5227F" w:rsidP="00946303">
            <w:pPr>
              <w:rPr>
                <w:b/>
                <w:bCs/>
              </w:rPr>
            </w:pPr>
            <w:r w:rsidRPr="00C5227F">
              <w:rPr>
                <w:b/>
                <w:bCs/>
              </w:rPr>
              <w:t>Organization</w:t>
            </w:r>
          </w:p>
        </w:tc>
        <w:tc>
          <w:tcPr>
            <w:tcW w:w="5845" w:type="dxa"/>
          </w:tcPr>
          <w:p w14:paraId="58D45589" w14:textId="4C2EEDA1" w:rsidR="00C5227F" w:rsidRDefault="00C5227F" w:rsidP="00946303">
            <w:r>
              <w:t>Bedrock Consortium</w:t>
            </w:r>
          </w:p>
        </w:tc>
      </w:tr>
      <w:tr w:rsidR="00C5227F" w14:paraId="29507DC6" w14:textId="77777777" w:rsidTr="00C5227F">
        <w:tc>
          <w:tcPr>
            <w:tcW w:w="3330" w:type="dxa"/>
          </w:tcPr>
          <w:p w14:paraId="5A134A76" w14:textId="50C38BB0" w:rsidR="00C5227F" w:rsidRPr="00C5227F" w:rsidRDefault="00C5227F" w:rsidP="00946303">
            <w:pPr>
              <w:rPr>
                <w:b/>
                <w:bCs/>
              </w:rPr>
            </w:pPr>
            <w:r w:rsidRPr="00C5227F">
              <w:rPr>
                <w:b/>
                <w:bCs/>
              </w:rPr>
              <w:t>Address</w:t>
            </w:r>
          </w:p>
        </w:tc>
        <w:tc>
          <w:tcPr>
            <w:tcW w:w="5845" w:type="dxa"/>
          </w:tcPr>
          <w:p w14:paraId="311C64B7" w14:textId="223EC03A" w:rsidR="00C5227F" w:rsidRDefault="00C5227F" w:rsidP="00946303">
            <w:r w:rsidRPr="00C5227F">
              <w:t>3500 South Dupont Highway Suite AA101, Dover, DE 19901 USA</w:t>
            </w:r>
          </w:p>
        </w:tc>
      </w:tr>
      <w:tr w:rsidR="00C5227F" w14:paraId="3E52F1F3" w14:textId="77777777" w:rsidTr="00C5227F">
        <w:tc>
          <w:tcPr>
            <w:tcW w:w="3330" w:type="dxa"/>
          </w:tcPr>
          <w:p w14:paraId="0FF5DEBD" w14:textId="050AE084" w:rsidR="00C5227F" w:rsidRPr="00C5227F" w:rsidRDefault="00C5227F" w:rsidP="00946303">
            <w:pPr>
              <w:rPr>
                <w:b/>
                <w:bCs/>
              </w:rPr>
            </w:pPr>
            <w:r w:rsidRPr="00C5227F">
              <w:rPr>
                <w:b/>
                <w:bCs/>
              </w:rPr>
              <w:t>Procurement Contact Person</w:t>
            </w:r>
            <w:r>
              <w:rPr>
                <w:b/>
                <w:bCs/>
              </w:rPr>
              <w:t xml:space="preserve"> (PCP)</w:t>
            </w:r>
          </w:p>
        </w:tc>
        <w:tc>
          <w:tcPr>
            <w:tcW w:w="5845" w:type="dxa"/>
          </w:tcPr>
          <w:p w14:paraId="666EA8E9" w14:textId="4283BF2C" w:rsidR="00C5227F" w:rsidRDefault="00C5227F" w:rsidP="00946303">
            <w:r>
              <w:t xml:space="preserve">Dan </w:t>
            </w:r>
            <w:proofErr w:type="spellStart"/>
            <w:r>
              <w:t>Gisolfi</w:t>
            </w:r>
            <w:proofErr w:type="spellEnd"/>
          </w:p>
        </w:tc>
      </w:tr>
      <w:tr w:rsidR="00C5227F" w14:paraId="08CCBF69" w14:textId="77777777" w:rsidTr="00C5227F">
        <w:tc>
          <w:tcPr>
            <w:tcW w:w="3330" w:type="dxa"/>
          </w:tcPr>
          <w:p w14:paraId="0F18C20F" w14:textId="7FEE7DDE" w:rsidR="00C5227F" w:rsidRPr="00C5227F" w:rsidRDefault="00C5227F" w:rsidP="00946303">
            <w:pPr>
              <w:rPr>
                <w:b/>
                <w:bCs/>
              </w:rPr>
            </w:pPr>
            <w:r>
              <w:rPr>
                <w:b/>
                <w:bCs/>
              </w:rPr>
              <w:t>PCP Email</w:t>
            </w:r>
          </w:p>
        </w:tc>
        <w:tc>
          <w:tcPr>
            <w:tcW w:w="5845" w:type="dxa"/>
          </w:tcPr>
          <w:p w14:paraId="43D97791" w14:textId="2783FB7A" w:rsidR="00C5227F" w:rsidRDefault="000C0763" w:rsidP="00946303">
            <w:r>
              <w:t>dan.</w:t>
            </w:r>
            <w:r w:rsidR="00C5227F">
              <w:t>gisolfi@</w:t>
            </w:r>
            <w:r>
              <w:t>gmail.com</w:t>
            </w:r>
          </w:p>
        </w:tc>
      </w:tr>
    </w:tbl>
    <w:p w14:paraId="4AEE467B" w14:textId="77777777" w:rsidR="00946303" w:rsidRDefault="00946303" w:rsidP="00946303"/>
    <w:p w14:paraId="1CD50458" w14:textId="77777777" w:rsidR="00946303" w:rsidRPr="00946303" w:rsidRDefault="00946303" w:rsidP="00946303"/>
    <w:p w14:paraId="7F7CE7E4" w14:textId="51164EFD" w:rsidR="00946303" w:rsidRPr="00946303" w:rsidRDefault="00946303" w:rsidP="00946303">
      <w:pPr>
        <w:pStyle w:val="Heading2"/>
      </w:pPr>
      <w:r w:rsidRPr="00946303">
        <w:t>Project Goals and Scope of Services</w:t>
      </w:r>
    </w:p>
    <w:p w14:paraId="75D8FFEC" w14:textId="05A474C8" w:rsidR="00946303" w:rsidRDefault="008651A8" w:rsidP="00946303">
      <w:r>
        <w:t>Respondents will need to take into consideration a balance between open collaboration and competitive value-add. T</w:t>
      </w:r>
      <w:r w:rsidR="00946303" w:rsidRPr="00946303">
        <w:t xml:space="preserve">he </w:t>
      </w:r>
      <w:r>
        <w:t xml:space="preserve">contract will be </w:t>
      </w:r>
      <w:r w:rsidR="00946303" w:rsidRPr="00946303">
        <w:t>award</w:t>
      </w:r>
      <w:r>
        <w:t xml:space="preserve">ed </w:t>
      </w:r>
      <w:r w:rsidR="00946303" w:rsidRPr="00946303">
        <w:t>to</w:t>
      </w:r>
      <w:r>
        <w:t xml:space="preserve"> the firm that recognizes this RFP as an opportunity to not only serve the needs of the BBU but to leverage it as an opportunity to build the skills and asset required to provide these services at scale to other identity utilities. The ideal respondent will demonstrate flexibility, creativity and an openness to community collaboration both within the Bedrock Project and with the </w:t>
      </w:r>
      <w:proofErr w:type="spellStart"/>
      <w:r>
        <w:t>ToIP</w:t>
      </w:r>
      <w:proofErr w:type="spellEnd"/>
      <w:r>
        <w:t xml:space="preserve"> Foundation. </w:t>
      </w:r>
      <w:r w:rsidR="00C5227F">
        <w:br/>
      </w:r>
    </w:p>
    <w:p w14:paraId="33EAE3EF" w14:textId="7C8C94F3" w:rsidR="00C5227F" w:rsidRDefault="00C5227F" w:rsidP="00946303">
      <w:r>
        <w:t xml:space="preserve">The Consortium </w:t>
      </w:r>
      <w:r w:rsidR="00B27FDD">
        <w:t>will be comprised of 25 or more private sector members of which ~9 members serve on the Board of Directors (</w:t>
      </w:r>
      <w:proofErr w:type="spellStart"/>
      <w:r w:rsidR="00B27FDD">
        <w:t>BoD</w:t>
      </w:r>
      <w:proofErr w:type="spellEnd"/>
      <w:r w:rsidR="00B27FDD">
        <w:t xml:space="preserve">). The </w:t>
      </w:r>
      <w:proofErr w:type="spellStart"/>
      <w:r w:rsidR="00B27FDD">
        <w:t>BoD</w:t>
      </w:r>
      <w:proofErr w:type="spellEnd"/>
      <w:r w:rsidR="00B27FDD">
        <w:t xml:space="preserve"> is responsible for the hiring of a Utility Service Provider that will be responsible for the daily operation, maintenance and monitoring of the BBU. Since the domain of expertise required for this proposal is very limited in the industry, a key vendor selection criterion will be that of “flexibility”. </w:t>
      </w:r>
    </w:p>
    <w:p w14:paraId="383B2843" w14:textId="50846CA1" w:rsidR="00750185" w:rsidRDefault="00750185" w:rsidP="00946303"/>
    <w:p w14:paraId="23E89CDC" w14:textId="28451622" w:rsidR="00750185" w:rsidRDefault="00750185" w:rsidP="00750185">
      <w:pPr>
        <w:pStyle w:val="Heading4"/>
      </w:pPr>
      <w:r>
        <w:t>Assumptions</w:t>
      </w:r>
    </w:p>
    <w:p w14:paraId="15B81524" w14:textId="564F5D2B" w:rsidR="00750185" w:rsidRDefault="008651A8" w:rsidP="00750185">
      <w:pPr>
        <w:pStyle w:val="ListParagraph"/>
        <w:numPr>
          <w:ilvl w:val="0"/>
          <w:numId w:val="1"/>
        </w:numPr>
      </w:pPr>
      <w:r>
        <w:t xml:space="preserve">Hyperledger Indy will be used as the </w:t>
      </w:r>
      <w:proofErr w:type="spellStart"/>
      <w:r w:rsidR="00750185">
        <w:t>ToIP</w:t>
      </w:r>
      <w:proofErr w:type="spellEnd"/>
      <w:r w:rsidR="00750185">
        <w:t xml:space="preserve"> Layer 1 </w:t>
      </w:r>
      <w:r>
        <w:t>t</w:t>
      </w:r>
      <w:r w:rsidR="00750185">
        <w:t xml:space="preserve">echnology: </w:t>
      </w:r>
    </w:p>
    <w:p w14:paraId="468E0BD5" w14:textId="443CA287" w:rsidR="00750185" w:rsidRDefault="00750185" w:rsidP="00750185">
      <w:pPr>
        <w:pStyle w:val="ListParagraph"/>
        <w:numPr>
          <w:ilvl w:val="0"/>
          <w:numId w:val="1"/>
        </w:numPr>
      </w:pPr>
      <w:r>
        <w:t xml:space="preserve">Participating members of the Consortium are required to provide “Indy Nodes” to the BBU. </w:t>
      </w:r>
    </w:p>
    <w:p w14:paraId="6533FE04" w14:textId="04D5A135" w:rsidR="00750185" w:rsidRDefault="00750185" w:rsidP="00750185">
      <w:pPr>
        <w:pStyle w:val="ListParagraph"/>
        <w:numPr>
          <w:ilvl w:val="0"/>
          <w:numId w:val="1"/>
        </w:numPr>
      </w:pPr>
      <w:r>
        <w:t>Participating members of the Consortium must meet adhere to the governance framework requirements for “Indy Nodes”.</w:t>
      </w:r>
    </w:p>
    <w:p w14:paraId="23540339" w14:textId="4D6FC056" w:rsidR="00132DB3" w:rsidRPr="00DB4481" w:rsidRDefault="00132DB3" w:rsidP="00132DB3">
      <w:pPr>
        <w:pStyle w:val="ListParagraph"/>
        <w:numPr>
          <w:ilvl w:val="0"/>
          <w:numId w:val="1"/>
        </w:numPr>
      </w:pPr>
      <w:r>
        <w:t xml:space="preserve">Respondents can </w:t>
      </w:r>
      <w:r w:rsidR="00362A8D">
        <w:t xml:space="preserve">assume </w:t>
      </w:r>
      <w:r>
        <w:t xml:space="preserve">remote support </w:t>
      </w:r>
      <w:r w:rsidR="00362A8D">
        <w:t xml:space="preserve">via </w:t>
      </w:r>
      <w:proofErr w:type="spellStart"/>
      <w:r w:rsidR="00362A8D">
        <w:t>webmtg</w:t>
      </w:r>
      <w:proofErr w:type="spellEnd"/>
      <w:r w:rsidR="00362A8D">
        <w:t xml:space="preserve"> (i.e.: Zoom) for all interactive services and USA/Central (</w:t>
      </w:r>
      <w:r>
        <w:t>CST</w:t>
      </w:r>
      <w:r w:rsidR="00362A8D">
        <w:t>)</w:t>
      </w:r>
      <w:r>
        <w:t xml:space="preserve"> as the default time</w:t>
      </w:r>
      <w:r w:rsidR="00362A8D">
        <w:t xml:space="preserve"> </w:t>
      </w:r>
      <w:r>
        <w:t>zone</w:t>
      </w:r>
      <w:r w:rsidR="00362A8D">
        <w:t>.</w:t>
      </w:r>
    </w:p>
    <w:p w14:paraId="12961944" w14:textId="77777777" w:rsidR="00132DB3" w:rsidRDefault="00132DB3" w:rsidP="00362A8D">
      <w:pPr>
        <w:pStyle w:val="ListParagraph"/>
      </w:pPr>
    </w:p>
    <w:p w14:paraId="2D7A0938" w14:textId="77777777" w:rsidR="00750185" w:rsidRDefault="00750185" w:rsidP="00750185">
      <w:pPr>
        <w:pStyle w:val="ListParagraph"/>
      </w:pPr>
    </w:p>
    <w:p w14:paraId="0348319C" w14:textId="2DD66A48" w:rsidR="00750185" w:rsidRDefault="00750185" w:rsidP="00750185">
      <w:pPr>
        <w:pStyle w:val="Heading4"/>
      </w:pPr>
      <w:r>
        <w:t>General Requirements</w:t>
      </w:r>
    </w:p>
    <w:p w14:paraId="100F17C1" w14:textId="6C52A09A" w:rsidR="00750185" w:rsidRDefault="00750185" w:rsidP="00946303"/>
    <w:tbl>
      <w:tblPr>
        <w:tblW w:w="0" w:type="auto"/>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3985"/>
        <w:gridCol w:w="3044"/>
        <w:gridCol w:w="2351"/>
      </w:tblGrid>
      <w:tr w:rsidR="00C55658" w:rsidRPr="00C55658" w14:paraId="4838BC82" w14:textId="77777777" w:rsidTr="00D06831">
        <w:trPr>
          <w:trHeight w:val="500"/>
        </w:trPr>
        <w:tc>
          <w:tcPr>
            <w:tcW w:w="3985" w:type="dxa"/>
          </w:tcPr>
          <w:p w14:paraId="7A9FB624" w14:textId="77777777" w:rsidR="00C55658" w:rsidRPr="00C55658" w:rsidRDefault="00C55658" w:rsidP="00C55658">
            <w:pPr>
              <w:autoSpaceDE w:val="0"/>
              <w:autoSpaceDN w:val="0"/>
              <w:adjustRightInd w:val="0"/>
              <w:jc w:val="center"/>
              <w:rPr>
                <w:rFonts w:ascii="Calibri" w:eastAsiaTheme="minorHAnsi" w:hAnsi="Calibri" w:cs="Calibri"/>
                <w:b/>
                <w:bCs/>
                <w:color w:val="002060"/>
                <w:sz w:val="28"/>
                <w:szCs w:val="28"/>
              </w:rPr>
            </w:pPr>
            <w:r w:rsidRPr="00C55658">
              <w:rPr>
                <w:rFonts w:ascii="Calibri" w:eastAsiaTheme="minorHAnsi" w:hAnsi="Calibri" w:cs="Calibri"/>
                <w:b/>
                <w:bCs/>
                <w:color w:val="002060"/>
                <w:sz w:val="28"/>
                <w:szCs w:val="28"/>
              </w:rPr>
              <w:t>Services</w:t>
            </w:r>
          </w:p>
        </w:tc>
        <w:tc>
          <w:tcPr>
            <w:tcW w:w="3044" w:type="dxa"/>
          </w:tcPr>
          <w:p w14:paraId="5C1B8467" w14:textId="454CAEBE"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Description</w:t>
            </w:r>
          </w:p>
        </w:tc>
        <w:tc>
          <w:tcPr>
            <w:tcW w:w="2351" w:type="dxa"/>
          </w:tcPr>
          <w:p w14:paraId="26B3510A" w14:textId="3775D975"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Requirement</w:t>
            </w:r>
          </w:p>
        </w:tc>
      </w:tr>
      <w:tr w:rsidR="00C55658" w:rsidRPr="00C55658" w14:paraId="60992268" w14:textId="77777777" w:rsidTr="00D06831">
        <w:trPr>
          <w:trHeight w:val="380"/>
        </w:trPr>
        <w:tc>
          <w:tcPr>
            <w:tcW w:w="3985" w:type="dxa"/>
          </w:tcPr>
          <w:p w14:paraId="43A492D4"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Relationship Management</w:t>
            </w:r>
          </w:p>
        </w:tc>
        <w:tc>
          <w:tcPr>
            <w:tcW w:w="3044" w:type="dxa"/>
          </w:tcPr>
          <w:p w14:paraId="1BA1B36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256CF8F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0034B7C" w14:textId="77777777" w:rsidTr="00D06831">
        <w:trPr>
          <w:trHeight w:val="380"/>
        </w:trPr>
        <w:tc>
          <w:tcPr>
            <w:tcW w:w="3985" w:type="dxa"/>
          </w:tcPr>
          <w:p w14:paraId="6DC9CC7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Account Manager: Primary Service Provider Focal Point to Board</w:t>
            </w:r>
          </w:p>
        </w:tc>
        <w:tc>
          <w:tcPr>
            <w:tcW w:w="3044" w:type="dxa"/>
          </w:tcPr>
          <w:p w14:paraId="71B5E584" w14:textId="54BFC843" w:rsidR="00C55658" w:rsidRPr="00C55658" w:rsidRDefault="00CE49E5" w:rsidP="00C55658">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Dedicated vendor focal point. </w:t>
            </w:r>
          </w:p>
        </w:tc>
        <w:tc>
          <w:tcPr>
            <w:tcW w:w="2351" w:type="dxa"/>
          </w:tcPr>
          <w:p w14:paraId="6A32F58E" w14:textId="25D4BA51"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122A4AE6" w14:textId="77777777" w:rsidTr="00D06831">
        <w:trPr>
          <w:trHeight w:val="400"/>
        </w:trPr>
        <w:tc>
          <w:tcPr>
            <w:tcW w:w="3985" w:type="dxa"/>
          </w:tcPr>
          <w:p w14:paraId="5973BA66"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Administrative Support: Consortium Board, Workgroup, Meeting Management</w:t>
            </w:r>
          </w:p>
        </w:tc>
        <w:tc>
          <w:tcPr>
            <w:tcW w:w="3044" w:type="dxa"/>
          </w:tcPr>
          <w:p w14:paraId="47C2B98A" w14:textId="6212729D" w:rsidR="00C55658" w:rsidRPr="00C55658" w:rsidRDefault="00CE49E5" w:rsidP="00C55658">
            <w:pPr>
              <w:autoSpaceDE w:val="0"/>
              <w:autoSpaceDN w:val="0"/>
              <w:adjustRightInd w:val="0"/>
              <w:jc w:val="center"/>
              <w:rPr>
                <w:rFonts w:ascii="IBM Plex Sans Condensed" w:eastAsiaTheme="minorHAnsi" w:hAnsi="IBM Plex Sans Condensed" w:cs="IBM Plex Sans Condensed"/>
              </w:rPr>
            </w:pPr>
            <w:r w:rsidRPr="00D06831">
              <w:rPr>
                <w:rFonts w:ascii="IBM Plex Sans Condensed" w:eastAsiaTheme="minorHAnsi" w:hAnsi="IBM Plex Sans Condensed" w:cs="IBM Plex Sans Condensed"/>
              </w:rPr>
              <w:t xml:space="preserve">Coordination of Consortium project activities. </w:t>
            </w:r>
          </w:p>
        </w:tc>
        <w:tc>
          <w:tcPr>
            <w:tcW w:w="2351" w:type="dxa"/>
          </w:tcPr>
          <w:p w14:paraId="1454BED9" w14:textId="231B961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rPr>
              <w:t>Optional</w:t>
            </w:r>
          </w:p>
        </w:tc>
      </w:tr>
      <w:tr w:rsidR="00C55658" w:rsidRPr="00C55658" w14:paraId="7F02AD0C" w14:textId="77777777" w:rsidTr="00D06831">
        <w:trPr>
          <w:trHeight w:val="380"/>
        </w:trPr>
        <w:tc>
          <w:tcPr>
            <w:tcW w:w="3985" w:type="dxa"/>
          </w:tcPr>
          <w:p w14:paraId="0E4DFA51"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6088B81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80BFD5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E25000C" w14:textId="77777777" w:rsidTr="00D06831">
        <w:trPr>
          <w:trHeight w:val="380"/>
        </w:trPr>
        <w:tc>
          <w:tcPr>
            <w:tcW w:w="3985" w:type="dxa"/>
          </w:tcPr>
          <w:p w14:paraId="24B59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lastRenderedPageBreak/>
              <w:t>Governance</w:t>
            </w:r>
          </w:p>
        </w:tc>
        <w:tc>
          <w:tcPr>
            <w:tcW w:w="3044" w:type="dxa"/>
          </w:tcPr>
          <w:p w14:paraId="65C5EC4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505E4B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98DC507" w14:textId="77777777" w:rsidTr="00D06831">
        <w:trPr>
          <w:trHeight w:val="400"/>
        </w:trPr>
        <w:tc>
          <w:tcPr>
            <w:tcW w:w="3985" w:type="dxa"/>
          </w:tcPr>
          <w:p w14:paraId="6C7FC105"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Governance Framework Development and Change Management</w:t>
            </w:r>
          </w:p>
        </w:tc>
        <w:tc>
          <w:tcPr>
            <w:tcW w:w="3044" w:type="dxa"/>
          </w:tcPr>
          <w:p w14:paraId="7C1CD5F9" w14:textId="1560D3D0" w:rsidR="00C55658" w:rsidRPr="00C55658" w:rsidRDefault="00D06831"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Coordinate and manage the custom development and maintenance of governance framework documents and associated public access. </w:t>
            </w:r>
          </w:p>
        </w:tc>
        <w:tc>
          <w:tcPr>
            <w:tcW w:w="2351" w:type="dxa"/>
          </w:tcPr>
          <w:p w14:paraId="7949A6B7" w14:textId="678A5DDD" w:rsidR="00C55658" w:rsidRPr="00C55658" w:rsidRDefault="00D0683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2E8689B2" w14:textId="77777777" w:rsidTr="00D06831">
        <w:trPr>
          <w:trHeight w:val="380"/>
        </w:trPr>
        <w:tc>
          <w:tcPr>
            <w:tcW w:w="3985" w:type="dxa"/>
          </w:tcPr>
          <w:p w14:paraId="6ECC4B7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E78480F"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57713EE4"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AAB6182" w14:textId="77777777" w:rsidTr="00D06831">
        <w:trPr>
          <w:trHeight w:val="400"/>
        </w:trPr>
        <w:tc>
          <w:tcPr>
            <w:tcW w:w="3985" w:type="dxa"/>
          </w:tcPr>
          <w:p w14:paraId="7A5D3579" w14:textId="1796C571"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Membership Management </w:t>
            </w:r>
          </w:p>
        </w:tc>
        <w:tc>
          <w:tcPr>
            <w:tcW w:w="3044" w:type="dxa"/>
          </w:tcPr>
          <w:p w14:paraId="64D94B8E"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7F34764D"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69FC3700" w14:textId="77777777" w:rsidTr="00D06831">
        <w:trPr>
          <w:trHeight w:val="400"/>
        </w:trPr>
        <w:tc>
          <w:tcPr>
            <w:tcW w:w="3985" w:type="dxa"/>
          </w:tcPr>
          <w:p w14:paraId="3BC883AE"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Onboarding </w:t>
            </w:r>
          </w:p>
        </w:tc>
        <w:tc>
          <w:tcPr>
            <w:tcW w:w="3044" w:type="dxa"/>
          </w:tcPr>
          <w:p w14:paraId="167080AE" w14:textId="1F569DFD"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Workflow process for onboarding new/renewed members. This includes collaboration with LF Salesforce Member Management System. </w:t>
            </w:r>
          </w:p>
        </w:tc>
        <w:tc>
          <w:tcPr>
            <w:tcW w:w="2351" w:type="dxa"/>
          </w:tcPr>
          <w:p w14:paraId="75055E36" w14:textId="03E3F603"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1C35B691" w14:textId="77777777" w:rsidTr="00D06831">
        <w:trPr>
          <w:trHeight w:val="400"/>
        </w:trPr>
        <w:tc>
          <w:tcPr>
            <w:tcW w:w="3985" w:type="dxa"/>
          </w:tcPr>
          <w:p w14:paraId="0BD6DEBC"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Entitlement Management</w:t>
            </w:r>
          </w:p>
        </w:tc>
        <w:tc>
          <w:tcPr>
            <w:tcW w:w="3044" w:type="dxa"/>
          </w:tcPr>
          <w:p w14:paraId="4D2B7CB5" w14:textId="7D084549"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Transaction entitlement process for Transaction Endorsers.  This includes collaboration with LF Salesforce Member Management System as well as possible creation of custom code for Bedrock Project.  </w:t>
            </w:r>
          </w:p>
        </w:tc>
        <w:tc>
          <w:tcPr>
            <w:tcW w:w="2351" w:type="dxa"/>
          </w:tcPr>
          <w:p w14:paraId="185BFE41" w14:textId="6CD7C61A"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553C65D2" w14:textId="77777777" w:rsidTr="00D06831">
        <w:trPr>
          <w:trHeight w:val="380"/>
        </w:trPr>
        <w:tc>
          <w:tcPr>
            <w:tcW w:w="3985" w:type="dxa"/>
          </w:tcPr>
          <w:p w14:paraId="2C48CB94"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7FB6C93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rPr>
            </w:pPr>
          </w:p>
        </w:tc>
        <w:tc>
          <w:tcPr>
            <w:tcW w:w="2351" w:type="dxa"/>
          </w:tcPr>
          <w:p w14:paraId="2252957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3087A4F" w14:textId="77777777" w:rsidTr="00D06831">
        <w:trPr>
          <w:trHeight w:val="380"/>
        </w:trPr>
        <w:tc>
          <w:tcPr>
            <w:tcW w:w="3985" w:type="dxa"/>
          </w:tcPr>
          <w:p w14:paraId="091B0B99"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Collaboration Support</w:t>
            </w:r>
          </w:p>
        </w:tc>
        <w:tc>
          <w:tcPr>
            <w:tcW w:w="3044" w:type="dxa"/>
          </w:tcPr>
          <w:p w14:paraId="6D98AC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50D1C6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7CBA129" w14:textId="77777777" w:rsidTr="00D06831">
        <w:trPr>
          <w:trHeight w:val="400"/>
        </w:trPr>
        <w:tc>
          <w:tcPr>
            <w:tcW w:w="3985" w:type="dxa"/>
          </w:tcPr>
          <w:p w14:paraId="6748F413"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Collaboration Tool Management (Trello, </w:t>
            </w:r>
            <w:proofErr w:type="spellStart"/>
            <w:r w:rsidRPr="00C55658">
              <w:rPr>
                <w:rFonts w:ascii="IBM Plex Sans Condensed" w:eastAsiaTheme="minorHAnsi" w:hAnsi="IBM Plex Sans Condensed" w:cs="IBM Plex Sans Condensed"/>
                <w:color w:val="000000"/>
              </w:rPr>
              <w:t>Github</w:t>
            </w:r>
            <w:proofErr w:type="spellEnd"/>
            <w:r w:rsidRPr="00C55658">
              <w:rPr>
                <w:rFonts w:ascii="IBM Plex Sans Condensed" w:eastAsiaTheme="minorHAnsi" w:hAnsi="IBM Plex Sans Condensed" w:cs="IBM Plex Sans Condensed"/>
                <w:color w:val="000000"/>
              </w:rPr>
              <w:t xml:space="preserve">, Slack, </w:t>
            </w:r>
            <w:proofErr w:type="spellStart"/>
            <w:r w:rsidRPr="00C55658">
              <w:rPr>
                <w:rFonts w:ascii="IBM Plex Sans Condensed" w:eastAsiaTheme="minorHAnsi" w:hAnsi="IBM Plex Sans Condensed" w:cs="IBM Plex Sans Condensed"/>
                <w:color w:val="000000"/>
              </w:rPr>
              <w:t>Rocketchat</w:t>
            </w:r>
            <w:proofErr w:type="spellEnd"/>
            <w:r w:rsidRPr="00C55658">
              <w:rPr>
                <w:rFonts w:ascii="IBM Plex Sans Condensed" w:eastAsiaTheme="minorHAnsi" w:hAnsi="IBM Plex Sans Condensed" w:cs="IBM Plex Sans Condensed"/>
                <w:color w:val="000000"/>
              </w:rPr>
              <w:t>)</w:t>
            </w:r>
          </w:p>
        </w:tc>
        <w:tc>
          <w:tcPr>
            <w:tcW w:w="3044" w:type="dxa"/>
          </w:tcPr>
          <w:p w14:paraId="74C872C3" w14:textId="5D1FE0D8"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Provide access to collaboration tools for Consortium Members.</w:t>
            </w:r>
          </w:p>
        </w:tc>
        <w:tc>
          <w:tcPr>
            <w:tcW w:w="2351" w:type="dxa"/>
          </w:tcPr>
          <w:p w14:paraId="48E79854" w14:textId="06EC0AAB"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7B22C15E" w14:textId="77777777" w:rsidTr="00D06831">
        <w:trPr>
          <w:trHeight w:val="380"/>
        </w:trPr>
        <w:tc>
          <w:tcPr>
            <w:tcW w:w="3985" w:type="dxa"/>
          </w:tcPr>
          <w:p w14:paraId="3DA32EA3"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384109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3204BF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05081733" w14:textId="77777777" w:rsidTr="00D06831">
        <w:trPr>
          <w:trHeight w:val="380"/>
        </w:trPr>
        <w:tc>
          <w:tcPr>
            <w:tcW w:w="3985" w:type="dxa"/>
          </w:tcPr>
          <w:p w14:paraId="7F613D50"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Steward Management </w:t>
            </w:r>
          </w:p>
        </w:tc>
        <w:tc>
          <w:tcPr>
            <w:tcW w:w="3044" w:type="dxa"/>
          </w:tcPr>
          <w:p w14:paraId="507A242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78CA54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0E5E3E0" w14:textId="77777777" w:rsidTr="00D06831">
        <w:trPr>
          <w:trHeight w:val="400"/>
        </w:trPr>
        <w:tc>
          <w:tcPr>
            <w:tcW w:w="3985" w:type="dxa"/>
          </w:tcPr>
          <w:p w14:paraId="226EBF4B"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Node Monitoring and Notification Services</w:t>
            </w:r>
          </w:p>
        </w:tc>
        <w:tc>
          <w:tcPr>
            <w:tcW w:w="3044" w:type="dxa"/>
          </w:tcPr>
          <w:p w14:paraId="0DAD69D4" w14:textId="52FC79EB" w:rsidR="00C55658" w:rsidRPr="00C55658" w:rsidRDefault="00C04977"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Individual node testing and health monitoring. Includes communication and problem resolution with Node owners. </w:t>
            </w:r>
            <w:r w:rsidR="00C55658" w:rsidRPr="00C55658">
              <w:rPr>
                <w:rFonts w:ascii="IBM Plex Sans Condensed" w:eastAsiaTheme="minorHAnsi" w:hAnsi="IBM Plex Sans Condensed" w:cs="IBM Plex Sans Condensed"/>
              </w:rPr>
              <w:t xml:space="preserve"> </w:t>
            </w:r>
          </w:p>
        </w:tc>
        <w:tc>
          <w:tcPr>
            <w:tcW w:w="2351" w:type="dxa"/>
          </w:tcPr>
          <w:p w14:paraId="50C1ABBA" w14:textId="54FC879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E49E5" w:rsidRPr="00C55658" w14:paraId="15D2B29F" w14:textId="77777777" w:rsidTr="00D06831">
        <w:trPr>
          <w:trHeight w:val="400"/>
        </w:trPr>
        <w:tc>
          <w:tcPr>
            <w:tcW w:w="3985" w:type="dxa"/>
          </w:tcPr>
          <w:p w14:paraId="7E63D20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One-on-One Technical Support w/Stewards</w:t>
            </w:r>
          </w:p>
        </w:tc>
        <w:tc>
          <w:tcPr>
            <w:tcW w:w="3044" w:type="dxa"/>
          </w:tcPr>
          <w:p w14:paraId="567D4596" w14:textId="5C2375E7" w:rsidR="00CE49E5" w:rsidRPr="00C55658" w:rsidRDefault="00C04977"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Technical assistance for members with the objective of improving onboarding time to value.  </w:t>
            </w:r>
            <w:r w:rsidR="00CE49E5" w:rsidRPr="00C55658">
              <w:rPr>
                <w:rFonts w:ascii="IBM Plex Sans Condensed" w:eastAsiaTheme="minorHAnsi" w:hAnsi="IBM Plex Sans Condensed" w:cs="IBM Plex Sans Condensed"/>
              </w:rPr>
              <w:t xml:space="preserve"> </w:t>
            </w:r>
          </w:p>
        </w:tc>
        <w:tc>
          <w:tcPr>
            <w:tcW w:w="2351" w:type="dxa"/>
          </w:tcPr>
          <w:p w14:paraId="1EE36CD4" w14:textId="269E2F7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31035357" w14:textId="77777777" w:rsidTr="00D06831">
        <w:trPr>
          <w:trHeight w:val="400"/>
        </w:trPr>
        <w:tc>
          <w:tcPr>
            <w:tcW w:w="3985" w:type="dxa"/>
          </w:tcPr>
          <w:p w14:paraId="4F1B3AAE"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Automatic Software Upgrades</w:t>
            </w:r>
          </w:p>
        </w:tc>
        <w:tc>
          <w:tcPr>
            <w:tcW w:w="3044" w:type="dxa"/>
          </w:tcPr>
          <w:p w14:paraId="62A6F289" w14:textId="5A94212E" w:rsidR="00CE49E5" w:rsidRPr="00C55658" w:rsidRDefault="00C04977"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Process automation tool development.</w:t>
            </w:r>
            <w:r w:rsidR="00CE49E5" w:rsidRPr="00C55658">
              <w:rPr>
                <w:rFonts w:ascii="IBM Plex Sans Condensed" w:eastAsiaTheme="minorHAnsi" w:hAnsi="IBM Plex Sans Condensed" w:cs="IBM Plex Sans Condensed"/>
              </w:rPr>
              <w:t xml:space="preserve"> </w:t>
            </w:r>
          </w:p>
        </w:tc>
        <w:tc>
          <w:tcPr>
            <w:tcW w:w="2351" w:type="dxa"/>
          </w:tcPr>
          <w:p w14:paraId="39B35CFE" w14:textId="65F8A80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109426B9" w14:textId="77777777" w:rsidTr="00D06831">
        <w:trPr>
          <w:trHeight w:val="400"/>
        </w:trPr>
        <w:tc>
          <w:tcPr>
            <w:tcW w:w="3985" w:type="dxa"/>
          </w:tcPr>
          <w:p w14:paraId="67A10CFD"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Best Practices for Node Operation</w:t>
            </w:r>
          </w:p>
        </w:tc>
        <w:tc>
          <w:tcPr>
            <w:tcW w:w="3044" w:type="dxa"/>
          </w:tcPr>
          <w:p w14:paraId="287C44B1" w14:textId="5BE55653"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Documentation of turn-key processes and best practices for operating a node. </w:t>
            </w:r>
            <w:r w:rsidR="00CE49E5" w:rsidRPr="00C55658">
              <w:rPr>
                <w:rFonts w:ascii="IBM Plex Sans Condensed" w:eastAsiaTheme="minorHAnsi" w:hAnsi="IBM Plex Sans Condensed" w:cs="IBM Plex Sans Condensed"/>
              </w:rPr>
              <w:t xml:space="preserve"> </w:t>
            </w:r>
            <w:r>
              <w:rPr>
                <w:rFonts w:ascii="IBM Plex Sans Condensed" w:eastAsiaTheme="minorHAnsi" w:hAnsi="IBM Plex Sans Condensed" w:cs="IBM Plex Sans Condensed"/>
              </w:rPr>
              <w:t xml:space="preserve">This may also include suggestions for evaluating node hosting service providers. </w:t>
            </w:r>
          </w:p>
        </w:tc>
        <w:tc>
          <w:tcPr>
            <w:tcW w:w="2351" w:type="dxa"/>
          </w:tcPr>
          <w:p w14:paraId="4263FAAA" w14:textId="04D6683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7F742E24" w14:textId="77777777" w:rsidTr="00D06831">
        <w:trPr>
          <w:trHeight w:val="400"/>
        </w:trPr>
        <w:tc>
          <w:tcPr>
            <w:tcW w:w="3985" w:type="dxa"/>
          </w:tcPr>
          <w:p w14:paraId="1E9E4E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Guided Onboarding and Set Up</w:t>
            </w:r>
          </w:p>
        </w:tc>
        <w:tc>
          <w:tcPr>
            <w:tcW w:w="3044" w:type="dxa"/>
          </w:tcPr>
          <w:p w14:paraId="3A2F3B5D" w14:textId="7D572CD4"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color w:val="333333"/>
              </w:rPr>
              <w:t>One-on-One</w:t>
            </w:r>
            <w:r>
              <w:rPr>
                <w:rFonts w:ascii="IBM Plex Sans Condensed" w:eastAsiaTheme="minorHAnsi" w:hAnsi="IBM Plex Sans Condensed" w:cs="IBM Plex Sans Condensed"/>
                <w:color w:val="333333"/>
              </w:rPr>
              <w:t xml:space="preserve"> assistance with set-up tools and onboarding process.</w:t>
            </w:r>
            <w:r w:rsidR="00CE49E5" w:rsidRPr="00C55658">
              <w:rPr>
                <w:rFonts w:ascii="IBM Plex Sans Condensed" w:eastAsiaTheme="minorHAnsi" w:hAnsi="IBM Plex Sans Condensed" w:cs="IBM Plex Sans Condensed"/>
              </w:rPr>
              <w:t xml:space="preserve"> </w:t>
            </w:r>
          </w:p>
        </w:tc>
        <w:tc>
          <w:tcPr>
            <w:tcW w:w="2351" w:type="dxa"/>
          </w:tcPr>
          <w:p w14:paraId="410532A1" w14:textId="415E2811"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4FD86281" w14:textId="77777777" w:rsidTr="00D06831">
        <w:trPr>
          <w:trHeight w:val="400"/>
        </w:trPr>
        <w:tc>
          <w:tcPr>
            <w:tcW w:w="3985" w:type="dxa"/>
          </w:tcPr>
          <w:p w14:paraId="271B0B3F"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Governance Technical Policies Compliance Checks</w:t>
            </w:r>
          </w:p>
        </w:tc>
        <w:tc>
          <w:tcPr>
            <w:tcW w:w="3044" w:type="dxa"/>
          </w:tcPr>
          <w:p w14:paraId="538B4694" w14:textId="25F7A180"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Audit, review nodes for </w:t>
            </w:r>
            <w:r w:rsidR="00DB4481">
              <w:rPr>
                <w:rFonts w:ascii="IBM Plex Sans Condensed" w:eastAsiaTheme="minorHAnsi" w:hAnsi="IBM Plex Sans Condensed" w:cs="IBM Plex Sans Condensed"/>
              </w:rPr>
              <w:t>compliance</w:t>
            </w:r>
            <w:r>
              <w:rPr>
                <w:rFonts w:ascii="IBM Plex Sans Condensed" w:eastAsiaTheme="minorHAnsi" w:hAnsi="IBM Plex Sans Condensed" w:cs="IBM Plex Sans Condensed"/>
              </w:rPr>
              <w:t xml:space="preserve"> with governance </w:t>
            </w:r>
            <w:r w:rsidR="00DB4481">
              <w:rPr>
                <w:rFonts w:ascii="IBM Plex Sans Condensed" w:eastAsiaTheme="minorHAnsi" w:hAnsi="IBM Plex Sans Condensed" w:cs="IBM Plex Sans Condensed"/>
              </w:rPr>
              <w:t>framework.</w:t>
            </w:r>
            <w:r w:rsidR="00CE49E5" w:rsidRPr="00C55658">
              <w:rPr>
                <w:rFonts w:ascii="IBM Plex Sans Condensed" w:eastAsiaTheme="minorHAnsi" w:hAnsi="IBM Plex Sans Condensed" w:cs="IBM Plex Sans Condensed"/>
              </w:rPr>
              <w:t xml:space="preserve"> </w:t>
            </w:r>
            <w:r w:rsidR="00DB4481">
              <w:rPr>
                <w:rFonts w:ascii="IBM Plex Sans Condensed" w:eastAsiaTheme="minorHAnsi" w:hAnsi="IBM Plex Sans Condensed" w:cs="IBM Plex Sans Condensed"/>
              </w:rPr>
              <w:t>Where possible this should be automated and monitored via dashboard.</w:t>
            </w:r>
          </w:p>
        </w:tc>
        <w:tc>
          <w:tcPr>
            <w:tcW w:w="2351" w:type="dxa"/>
          </w:tcPr>
          <w:p w14:paraId="211F7BAD" w14:textId="156536EA"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548ED4EC" w14:textId="77777777" w:rsidTr="00D06831">
        <w:trPr>
          <w:trHeight w:val="400"/>
        </w:trPr>
        <w:tc>
          <w:tcPr>
            <w:tcW w:w="3985" w:type="dxa"/>
          </w:tcPr>
          <w:p w14:paraId="3B47D3B8"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lastRenderedPageBreak/>
              <w:t xml:space="preserve">Interlock with </w:t>
            </w:r>
            <w:proofErr w:type="spellStart"/>
            <w:r w:rsidRPr="00C55658">
              <w:rPr>
                <w:rFonts w:ascii="IBM Plex Sans Condensed" w:eastAsiaTheme="minorHAnsi" w:hAnsi="IBM Plex Sans Condensed" w:cs="IBM Plex Sans Condensed"/>
                <w:color w:val="333333"/>
              </w:rPr>
              <w:t>BoD</w:t>
            </w:r>
            <w:proofErr w:type="spellEnd"/>
            <w:r w:rsidRPr="00C55658">
              <w:rPr>
                <w:rFonts w:ascii="IBM Plex Sans Condensed" w:eastAsiaTheme="minorHAnsi" w:hAnsi="IBM Plex Sans Condensed" w:cs="IBM Plex Sans Condensed"/>
                <w:color w:val="333333"/>
              </w:rPr>
              <w:t xml:space="preserve"> on Business &amp; Tech Policies; Contract Compliance</w:t>
            </w:r>
          </w:p>
        </w:tc>
        <w:tc>
          <w:tcPr>
            <w:tcW w:w="3044" w:type="dxa"/>
          </w:tcPr>
          <w:p w14:paraId="4D92000D" w14:textId="03BC619D" w:rsidR="00CE49E5" w:rsidRPr="00C55658" w:rsidRDefault="00DB4481"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Provide technical advisor to </w:t>
            </w:r>
            <w:proofErr w:type="spellStart"/>
            <w:r>
              <w:rPr>
                <w:rFonts w:ascii="IBM Plex Sans Condensed" w:eastAsiaTheme="minorHAnsi" w:hAnsi="IBM Plex Sans Condensed" w:cs="IBM Plex Sans Condensed"/>
              </w:rPr>
              <w:t>BoD</w:t>
            </w:r>
            <w:proofErr w:type="spellEnd"/>
            <w:r>
              <w:rPr>
                <w:rFonts w:ascii="IBM Plex Sans Condensed" w:eastAsiaTheme="minorHAnsi" w:hAnsi="IBM Plex Sans Condensed" w:cs="IBM Plex Sans Condensed"/>
              </w:rPr>
              <w:t xml:space="preserve"> on policies. Provide representation in technical governance workgroups. </w:t>
            </w:r>
          </w:p>
        </w:tc>
        <w:tc>
          <w:tcPr>
            <w:tcW w:w="2351" w:type="dxa"/>
          </w:tcPr>
          <w:p w14:paraId="7518D420" w14:textId="540AAFA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55658" w:rsidRPr="00C55658" w14:paraId="290FCC12" w14:textId="77777777" w:rsidTr="00D06831">
        <w:trPr>
          <w:trHeight w:val="380"/>
        </w:trPr>
        <w:tc>
          <w:tcPr>
            <w:tcW w:w="3985" w:type="dxa"/>
          </w:tcPr>
          <w:p w14:paraId="068B40F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7483EC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99CA26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BA70FED" w14:textId="77777777" w:rsidTr="00D06831">
        <w:trPr>
          <w:trHeight w:val="380"/>
        </w:trPr>
        <w:tc>
          <w:tcPr>
            <w:tcW w:w="3985" w:type="dxa"/>
          </w:tcPr>
          <w:p w14:paraId="5E14A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Identity Utility Network: IT Infrastructure</w:t>
            </w:r>
          </w:p>
        </w:tc>
        <w:tc>
          <w:tcPr>
            <w:tcW w:w="3044" w:type="dxa"/>
          </w:tcPr>
          <w:p w14:paraId="59AEE15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250854B9"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E49E5" w:rsidRPr="00C55658" w14:paraId="2FD40771" w14:textId="77777777" w:rsidTr="00D06831">
        <w:trPr>
          <w:trHeight w:val="380"/>
        </w:trPr>
        <w:tc>
          <w:tcPr>
            <w:tcW w:w="3985" w:type="dxa"/>
          </w:tcPr>
          <w:p w14:paraId="631AE5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Upgrade planning, testing and deployment</w:t>
            </w:r>
          </w:p>
        </w:tc>
        <w:tc>
          <w:tcPr>
            <w:tcW w:w="3044" w:type="dxa"/>
          </w:tcPr>
          <w:p w14:paraId="19DC35AF" w14:textId="61C99D9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Drive continuous improvement plans for network health.</w:t>
            </w:r>
          </w:p>
        </w:tc>
        <w:tc>
          <w:tcPr>
            <w:tcW w:w="2351" w:type="dxa"/>
          </w:tcPr>
          <w:p w14:paraId="30044B93" w14:textId="088B9CE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A4ADBEB" w14:textId="77777777" w:rsidTr="00D06831">
        <w:trPr>
          <w:trHeight w:val="400"/>
        </w:trPr>
        <w:tc>
          <w:tcPr>
            <w:tcW w:w="3985" w:type="dxa"/>
          </w:tcPr>
          <w:p w14:paraId="742E4700"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Node monitoring, troubleshooting and repair</w:t>
            </w:r>
          </w:p>
        </w:tc>
        <w:tc>
          <w:tcPr>
            <w:tcW w:w="3044" w:type="dxa"/>
          </w:tcPr>
          <w:p w14:paraId="2E66B9BF" w14:textId="2AE84BE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General Ledger Health Management. Develop where necessary dashboard monitoring tools. </w:t>
            </w:r>
          </w:p>
        </w:tc>
        <w:tc>
          <w:tcPr>
            <w:tcW w:w="2351" w:type="dxa"/>
          </w:tcPr>
          <w:p w14:paraId="35F099D9" w14:textId="372DCA7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5E4C226" w14:textId="77777777" w:rsidTr="00D06831">
        <w:trPr>
          <w:trHeight w:val="380"/>
        </w:trPr>
        <w:tc>
          <w:tcPr>
            <w:tcW w:w="3985" w:type="dxa"/>
          </w:tcPr>
          <w:p w14:paraId="54E3A82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New Steward onboarding</w:t>
            </w:r>
          </w:p>
        </w:tc>
        <w:tc>
          <w:tcPr>
            <w:tcW w:w="3044" w:type="dxa"/>
          </w:tcPr>
          <w:p w14:paraId="3CB6BB95" w14:textId="6ECA3FD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Manage ledger configuration process for new </w:t>
            </w:r>
            <w:r w:rsidR="008651A8">
              <w:rPr>
                <w:rFonts w:ascii="IBM Plex Sans Condensed" w:eastAsiaTheme="minorHAnsi" w:hAnsi="IBM Plex Sans Condensed" w:cs="IBM Plex Sans Condensed"/>
              </w:rPr>
              <w:t>Steward nodes.</w:t>
            </w:r>
          </w:p>
        </w:tc>
        <w:tc>
          <w:tcPr>
            <w:tcW w:w="2351" w:type="dxa"/>
          </w:tcPr>
          <w:p w14:paraId="49470DAF" w14:textId="5697DB98"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48A95AF" w14:textId="77777777" w:rsidTr="00D06831">
        <w:trPr>
          <w:trHeight w:val="400"/>
        </w:trPr>
        <w:tc>
          <w:tcPr>
            <w:tcW w:w="3985" w:type="dxa"/>
          </w:tcPr>
          <w:p w14:paraId="73F901E5"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Trustee onboarding</w:t>
            </w:r>
          </w:p>
        </w:tc>
        <w:tc>
          <w:tcPr>
            <w:tcW w:w="3044" w:type="dxa"/>
          </w:tcPr>
          <w:p w14:paraId="32CAA315" w14:textId="008A6074"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ledger configuration process for new Trustees</w:t>
            </w:r>
            <w:r w:rsidR="00CE49E5" w:rsidRPr="00C55658">
              <w:rPr>
                <w:rFonts w:ascii="IBM Plex Sans Condensed" w:eastAsiaTheme="minorHAnsi" w:hAnsi="IBM Plex Sans Condensed" w:cs="IBM Plex Sans Condensed"/>
              </w:rPr>
              <w:t xml:space="preserve"> </w:t>
            </w:r>
          </w:p>
        </w:tc>
        <w:tc>
          <w:tcPr>
            <w:tcW w:w="2351" w:type="dxa"/>
          </w:tcPr>
          <w:p w14:paraId="22DF1DE5" w14:textId="1964125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8BC8C9" w14:textId="77777777" w:rsidTr="00D06831">
        <w:trPr>
          <w:trHeight w:val="400"/>
        </w:trPr>
        <w:tc>
          <w:tcPr>
            <w:tcW w:w="3985" w:type="dxa"/>
          </w:tcPr>
          <w:p w14:paraId="339D3CF5" w14:textId="50471D49"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Transaction </w:t>
            </w:r>
            <w:r w:rsidR="00DB4481">
              <w:rPr>
                <w:rFonts w:ascii="IBM Plex Sans Condensed" w:eastAsiaTheme="minorHAnsi" w:hAnsi="IBM Plex Sans Condensed" w:cs="IBM Plex Sans Condensed"/>
                <w:color w:val="000000"/>
              </w:rPr>
              <w:t xml:space="preserve">Endorser Support </w:t>
            </w:r>
          </w:p>
        </w:tc>
        <w:tc>
          <w:tcPr>
            <w:tcW w:w="3044" w:type="dxa"/>
          </w:tcPr>
          <w:p w14:paraId="32384970" w14:textId="1AD7F849" w:rsidR="00CE49E5" w:rsidRPr="00C55658" w:rsidRDefault="00DB4481"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Aid members in the development, installation, deployment and configuration, of transaction endorser code.</w:t>
            </w:r>
          </w:p>
        </w:tc>
        <w:tc>
          <w:tcPr>
            <w:tcW w:w="2351" w:type="dxa"/>
          </w:tcPr>
          <w:p w14:paraId="34661DA3" w14:textId="7F58F99F"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4FD3156" w14:textId="77777777" w:rsidTr="00D06831">
        <w:trPr>
          <w:trHeight w:val="380"/>
        </w:trPr>
        <w:tc>
          <w:tcPr>
            <w:tcW w:w="3985" w:type="dxa"/>
          </w:tcPr>
          <w:p w14:paraId="29A2A74E" w14:textId="129EB4E3"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Environment </w:t>
            </w:r>
            <w:r w:rsidR="00CE49E5" w:rsidRPr="00C55658">
              <w:rPr>
                <w:rFonts w:ascii="IBM Plex Sans Condensed" w:eastAsiaTheme="minorHAnsi" w:hAnsi="IBM Plex Sans Condensed" w:cs="IBM Plex Sans Condensed"/>
                <w:color w:val="000000"/>
              </w:rPr>
              <w:t>Support</w:t>
            </w:r>
            <w:r>
              <w:rPr>
                <w:rFonts w:ascii="IBM Plex Sans Condensed" w:eastAsiaTheme="minorHAnsi" w:hAnsi="IBM Plex Sans Condensed" w:cs="IBM Plex Sans Condensed"/>
                <w:color w:val="000000"/>
              </w:rPr>
              <w:t xml:space="preserve"> (Prod, Dev, Test)</w:t>
            </w:r>
          </w:p>
        </w:tc>
        <w:tc>
          <w:tcPr>
            <w:tcW w:w="3044" w:type="dxa"/>
          </w:tcPr>
          <w:p w14:paraId="5FF91E78" w14:textId="57EA9387"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configuration of each environment including allocation of member nodes.</w:t>
            </w:r>
          </w:p>
        </w:tc>
        <w:tc>
          <w:tcPr>
            <w:tcW w:w="2351" w:type="dxa"/>
          </w:tcPr>
          <w:p w14:paraId="7312D834" w14:textId="4856141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5BCDBAFC" w14:textId="77777777" w:rsidTr="00D06831">
        <w:trPr>
          <w:trHeight w:val="380"/>
        </w:trPr>
        <w:tc>
          <w:tcPr>
            <w:tcW w:w="3985" w:type="dxa"/>
          </w:tcPr>
          <w:p w14:paraId="705A8030" w14:textId="0BF1645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Build and Test Services</w:t>
            </w:r>
          </w:p>
        </w:tc>
        <w:tc>
          <w:tcPr>
            <w:tcW w:w="3044" w:type="dxa"/>
          </w:tcPr>
          <w:p w14:paraId="5AF4AA5F" w14:textId="27A10EB3"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build and test tools for use on all environments. </w:t>
            </w:r>
          </w:p>
        </w:tc>
        <w:tc>
          <w:tcPr>
            <w:tcW w:w="2351" w:type="dxa"/>
          </w:tcPr>
          <w:p w14:paraId="7738DEF1" w14:textId="5194150D"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CFB83D" w14:textId="77777777" w:rsidTr="00D06831">
        <w:trPr>
          <w:trHeight w:val="380"/>
        </w:trPr>
        <w:tc>
          <w:tcPr>
            <w:tcW w:w="3985" w:type="dxa"/>
          </w:tcPr>
          <w:p w14:paraId="7E8B4410" w14:textId="6008D56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Continuous Integration Build Support</w:t>
            </w:r>
          </w:p>
        </w:tc>
        <w:tc>
          <w:tcPr>
            <w:tcW w:w="3044" w:type="dxa"/>
          </w:tcPr>
          <w:p w14:paraId="3FBF16F1" w14:textId="0C188BC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Ensure all development activity is driven by CI practices. </w:t>
            </w:r>
          </w:p>
        </w:tc>
        <w:tc>
          <w:tcPr>
            <w:tcW w:w="2351" w:type="dxa"/>
          </w:tcPr>
          <w:p w14:paraId="20E00294" w14:textId="786330E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92D921E" w14:textId="77777777" w:rsidTr="00D06831">
        <w:trPr>
          <w:trHeight w:val="380"/>
        </w:trPr>
        <w:tc>
          <w:tcPr>
            <w:tcW w:w="3985" w:type="dxa"/>
          </w:tcPr>
          <w:p w14:paraId="57DBD925" w14:textId="052DEB28"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Bedrock code release management</w:t>
            </w:r>
          </w:p>
        </w:tc>
        <w:tc>
          <w:tcPr>
            <w:tcW w:w="3044" w:type="dxa"/>
          </w:tcPr>
          <w:p w14:paraId="28264A3E" w14:textId="00C1F1E1"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Maintain snapshots of Indy code used for network plus any other project related code. </w:t>
            </w:r>
          </w:p>
        </w:tc>
        <w:tc>
          <w:tcPr>
            <w:tcW w:w="2351" w:type="dxa"/>
          </w:tcPr>
          <w:p w14:paraId="5FFAF248" w14:textId="0A79AEBB"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55658" w:rsidRPr="00C55658" w14:paraId="53A4964C" w14:textId="77777777" w:rsidTr="00D06831">
        <w:trPr>
          <w:trHeight w:val="400"/>
        </w:trPr>
        <w:tc>
          <w:tcPr>
            <w:tcW w:w="3985" w:type="dxa"/>
          </w:tcPr>
          <w:p w14:paraId="0280433F" w14:textId="251897FB"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Method Name Registration Services</w:t>
            </w:r>
          </w:p>
        </w:tc>
        <w:tc>
          <w:tcPr>
            <w:tcW w:w="3044" w:type="dxa"/>
          </w:tcPr>
          <w:p w14:paraId="0DA074EC" w14:textId="18A8350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Registration with known/trusted </w:t>
            </w:r>
            <w:proofErr w:type="gramStart"/>
            <w:r>
              <w:rPr>
                <w:rFonts w:ascii="IBM Plex Sans Condensed" w:eastAsiaTheme="minorHAnsi" w:hAnsi="IBM Plex Sans Condensed" w:cs="IBM Plex Sans Condensed"/>
              </w:rPr>
              <w:t>UR  servers</w:t>
            </w:r>
            <w:proofErr w:type="gramEnd"/>
            <w:r>
              <w:rPr>
                <w:rFonts w:ascii="IBM Plex Sans Condensed" w:eastAsiaTheme="minorHAnsi" w:hAnsi="IBM Plex Sans Condensed" w:cs="IBM Plex Sans Condensed"/>
              </w:rPr>
              <w:t>.</w:t>
            </w:r>
          </w:p>
        </w:tc>
        <w:tc>
          <w:tcPr>
            <w:tcW w:w="2351" w:type="dxa"/>
          </w:tcPr>
          <w:p w14:paraId="5FB23B94" w14:textId="707F66F8"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31F55D54" w14:textId="77777777" w:rsidTr="00D06831">
        <w:trPr>
          <w:trHeight w:val="400"/>
        </w:trPr>
        <w:tc>
          <w:tcPr>
            <w:tcW w:w="3985" w:type="dxa"/>
          </w:tcPr>
          <w:p w14:paraId="6C26D346" w14:textId="0AD74BA2"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DID Root Namespace Development (</w:t>
            </w:r>
            <w:proofErr w:type="spellStart"/>
            <w:proofErr w:type="gramStart"/>
            <w:r>
              <w:rPr>
                <w:rFonts w:ascii="IBM Plex Sans Condensed" w:eastAsiaTheme="minorHAnsi" w:hAnsi="IBM Plex Sans Condensed" w:cs="IBM Plex Sans Condensed"/>
                <w:color w:val="000000"/>
              </w:rPr>
              <w:t>did:bbu</w:t>
            </w:r>
            <w:proofErr w:type="spellEnd"/>
            <w:proofErr w:type="gramEnd"/>
            <w:r>
              <w:rPr>
                <w:rFonts w:ascii="IBM Plex Sans Condensed" w:eastAsiaTheme="minorHAnsi" w:hAnsi="IBM Plex Sans Condensed" w:cs="IBM Plex Sans Condensed"/>
                <w:color w:val="000000"/>
              </w:rPr>
              <w:t>)</w:t>
            </w:r>
          </w:p>
        </w:tc>
        <w:tc>
          <w:tcPr>
            <w:tcW w:w="3044" w:type="dxa"/>
          </w:tcPr>
          <w:p w14:paraId="28841353" w14:textId="7C8D93C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Universal Resolver Driver. </w:t>
            </w:r>
            <w:r w:rsidR="00C55658" w:rsidRPr="00C55658">
              <w:rPr>
                <w:rFonts w:ascii="IBM Plex Sans Condensed" w:eastAsiaTheme="minorHAnsi" w:hAnsi="IBM Plex Sans Condensed" w:cs="IBM Plex Sans Condensed"/>
              </w:rPr>
              <w:t xml:space="preserve"> </w:t>
            </w:r>
          </w:p>
        </w:tc>
        <w:tc>
          <w:tcPr>
            <w:tcW w:w="2351" w:type="dxa"/>
          </w:tcPr>
          <w:p w14:paraId="6DE62A65" w14:textId="6A0DD6ED"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bl>
    <w:p w14:paraId="38E823F7" w14:textId="65CC8E53" w:rsidR="00750185" w:rsidRDefault="00750185" w:rsidP="00946303"/>
    <w:p w14:paraId="214ACA65" w14:textId="4D4349DA" w:rsidR="00750185" w:rsidRDefault="00750185" w:rsidP="00946303"/>
    <w:p w14:paraId="2974FCC6" w14:textId="25BFFD64" w:rsidR="00750185" w:rsidRDefault="00750185" w:rsidP="00750185">
      <w:pPr>
        <w:pStyle w:val="Heading4"/>
      </w:pPr>
      <w:r>
        <w:t>Other Capabilities</w:t>
      </w:r>
    </w:p>
    <w:p w14:paraId="5168A4CB" w14:textId="5FA17C7F" w:rsidR="00DB4481" w:rsidRDefault="00DB4481" w:rsidP="00DB4481">
      <w:r w:rsidRPr="00DB4481">
        <w:t xml:space="preserve">Respondents </w:t>
      </w:r>
      <w:r>
        <w:t xml:space="preserve">should itemize and describe any additional value-added services that should be considered </w:t>
      </w:r>
      <w:r w:rsidR="00132DB3">
        <w:t>in the assessment of their capabilities as a partner to the Consortium.</w:t>
      </w:r>
    </w:p>
    <w:p w14:paraId="07ED00E7" w14:textId="2A485764" w:rsidR="00DB4481" w:rsidRDefault="00DB4481" w:rsidP="00DB4481"/>
    <w:p w14:paraId="344D5705" w14:textId="35BB11C1" w:rsidR="00DB4481" w:rsidRDefault="00DB4481" w:rsidP="00132DB3">
      <w:pPr>
        <w:pStyle w:val="Heading4"/>
      </w:pPr>
      <w:r>
        <w:t>Tools</w:t>
      </w:r>
    </w:p>
    <w:p w14:paraId="2559A753" w14:textId="0D534DB7" w:rsidR="00DB4481" w:rsidRDefault="00132DB3" w:rsidP="00DB4481">
      <w:r w:rsidRPr="00DB4481">
        <w:t xml:space="preserve">Respondents </w:t>
      </w:r>
      <w:r>
        <w:t>should p</w:t>
      </w:r>
      <w:r w:rsidR="00DB4481">
        <w:t>rovide a detailed list of tools th</w:t>
      </w:r>
      <w:r>
        <w:t xml:space="preserve">ey will leverage to provide the services required. When tools do not exist, the respondents should briefing describe the architecture for what they plan to develop to meet the needs of the BBU. For example, a few Sovrin tools are available here: </w:t>
      </w:r>
    </w:p>
    <w:p w14:paraId="5446B7E5" w14:textId="77777777" w:rsidR="00DB4481" w:rsidRPr="00DB4481" w:rsidRDefault="00DB4481" w:rsidP="00132DB3">
      <w:pPr>
        <w:numPr>
          <w:ilvl w:val="0"/>
          <w:numId w:val="2"/>
        </w:numPr>
      </w:pPr>
      <w:r w:rsidRPr="00DB4481">
        <w:t>https://github.com/sovrin-foundation/sovrin-sip/tree/master/tex</w:t>
      </w:r>
    </w:p>
    <w:p w14:paraId="3809A715" w14:textId="77777777" w:rsidR="00DB4481" w:rsidRPr="00DB4481" w:rsidRDefault="00DB4481" w:rsidP="00132DB3">
      <w:pPr>
        <w:numPr>
          <w:ilvl w:val="0"/>
          <w:numId w:val="2"/>
        </w:numPr>
      </w:pPr>
      <w:r w:rsidRPr="00DB4481">
        <w:t>https://github.com/sovrin-foundation/steward-tools</w:t>
      </w:r>
    </w:p>
    <w:p w14:paraId="655B90C4" w14:textId="77777777" w:rsidR="00DB4481" w:rsidRPr="00DB4481" w:rsidRDefault="00DB4481" w:rsidP="00132DB3">
      <w:pPr>
        <w:numPr>
          <w:ilvl w:val="0"/>
          <w:numId w:val="2"/>
        </w:numPr>
      </w:pPr>
      <w:r w:rsidRPr="00DB4481">
        <w:t>https://github.com/sovrin-foundation/indyscan</w:t>
      </w:r>
    </w:p>
    <w:p w14:paraId="706398AA" w14:textId="3161BB96" w:rsidR="00DB4481" w:rsidRDefault="00DB4481" w:rsidP="00DB4481"/>
    <w:p w14:paraId="23F32AEE" w14:textId="7B0580F1" w:rsidR="00132DB3" w:rsidRDefault="00132DB3" w:rsidP="00132DB3">
      <w:pPr>
        <w:pStyle w:val="Heading4"/>
      </w:pPr>
      <w:r>
        <w:t>Skills</w:t>
      </w:r>
    </w:p>
    <w:p w14:paraId="0D662DAE" w14:textId="64575145" w:rsidR="00132DB3" w:rsidRPr="00DB4481" w:rsidRDefault="00132DB3" w:rsidP="00132DB3">
      <w:r w:rsidRPr="00DB4481">
        <w:t>Respondents</w:t>
      </w:r>
      <w:r>
        <w:t xml:space="preserve"> should provide brief bios/resumes of the resources that will be used on this project. </w:t>
      </w:r>
    </w:p>
    <w:p w14:paraId="5773C689" w14:textId="398E0CD8" w:rsidR="00946303" w:rsidRDefault="00132DB3" w:rsidP="00946303">
      <w:pPr>
        <w:pStyle w:val="Heading2"/>
      </w:pPr>
      <w:r>
        <w:lastRenderedPageBreak/>
        <w:t xml:space="preserve"> </w:t>
      </w:r>
    </w:p>
    <w:p w14:paraId="20DF08BB" w14:textId="28FEF117" w:rsidR="00946303" w:rsidRPr="00946303" w:rsidRDefault="00946303" w:rsidP="00946303">
      <w:pPr>
        <w:pStyle w:val="Heading2"/>
      </w:pPr>
      <w:r w:rsidRPr="00946303">
        <w:t>Anticipated Selection Schedule</w:t>
      </w:r>
    </w:p>
    <w:p w14:paraId="275EBB7C" w14:textId="4B51A63D" w:rsidR="00946303" w:rsidRDefault="007C014E" w:rsidP="00946303">
      <w:r>
        <w:t xml:space="preserve">The Consortium is currently being established and will not be formalized until after the </w:t>
      </w:r>
      <w:r w:rsidRPr="000C0763">
        <w:rPr>
          <w:i/>
          <w:iCs/>
        </w:rPr>
        <w:t>BBU Governance Framework Working Group</w:t>
      </w:r>
      <w:r>
        <w:t xml:space="preserve"> completes the assessment of respondents and makes a formal presentation to the preliminary executive sponsors. Respondents should be </w:t>
      </w:r>
      <w:r w:rsidR="00AF42D3">
        <w:t xml:space="preserve">aware that the process for establishing the BBU Series 1 LLC under the Linux Foundation is still fuzzy so actual process steps and deadlines may change. </w:t>
      </w:r>
    </w:p>
    <w:p w14:paraId="3DDE7769" w14:textId="1A97BCAE" w:rsidR="00132DB3" w:rsidRDefault="00132DB3" w:rsidP="00946303"/>
    <w:p w14:paraId="4A2E2844" w14:textId="0C018D8B" w:rsidR="00132DB3" w:rsidRDefault="00132DB3" w:rsidP="00946303">
      <w:r>
        <w:t>The following schedule and process will be used for assessment:</w:t>
      </w:r>
    </w:p>
    <w:p w14:paraId="306B4B4E" w14:textId="77777777" w:rsidR="00132DB3" w:rsidRDefault="00132DB3" w:rsidP="00946303"/>
    <w:tbl>
      <w:tblPr>
        <w:tblStyle w:val="TableGrid"/>
        <w:tblW w:w="9090" w:type="dxa"/>
        <w:tblInd w:w="265" w:type="dxa"/>
        <w:tblLook w:val="04A0" w:firstRow="1" w:lastRow="0" w:firstColumn="1" w:lastColumn="0" w:noHBand="0" w:noVBand="1"/>
      </w:tblPr>
      <w:tblGrid>
        <w:gridCol w:w="2072"/>
        <w:gridCol w:w="2337"/>
        <w:gridCol w:w="4681"/>
      </w:tblGrid>
      <w:tr w:rsidR="00362A8D" w14:paraId="1266E210" w14:textId="77777777" w:rsidTr="00362A8D">
        <w:tc>
          <w:tcPr>
            <w:tcW w:w="2072" w:type="dxa"/>
          </w:tcPr>
          <w:p w14:paraId="115CCA7A" w14:textId="3CFF0A88" w:rsidR="00362A8D" w:rsidRPr="000C0763" w:rsidRDefault="00362A8D" w:rsidP="000C0763">
            <w:pPr>
              <w:jc w:val="center"/>
              <w:rPr>
                <w:b/>
                <w:bCs/>
              </w:rPr>
            </w:pPr>
            <w:r w:rsidRPr="000C0763">
              <w:rPr>
                <w:b/>
                <w:bCs/>
              </w:rPr>
              <w:t>Phase</w:t>
            </w:r>
          </w:p>
        </w:tc>
        <w:tc>
          <w:tcPr>
            <w:tcW w:w="2337" w:type="dxa"/>
          </w:tcPr>
          <w:p w14:paraId="2FD07014" w14:textId="7F99AD17" w:rsidR="00362A8D" w:rsidRPr="000C0763" w:rsidRDefault="00362A8D" w:rsidP="000C0763">
            <w:pPr>
              <w:jc w:val="center"/>
              <w:rPr>
                <w:b/>
                <w:bCs/>
              </w:rPr>
            </w:pPr>
            <w:r w:rsidRPr="000C0763">
              <w:rPr>
                <w:b/>
                <w:bCs/>
              </w:rPr>
              <w:t>Dates</w:t>
            </w:r>
          </w:p>
        </w:tc>
        <w:tc>
          <w:tcPr>
            <w:tcW w:w="4681" w:type="dxa"/>
          </w:tcPr>
          <w:p w14:paraId="6A688D39" w14:textId="08C1D7FD" w:rsidR="00362A8D" w:rsidRPr="000C0763" w:rsidRDefault="00362A8D" w:rsidP="000C0763">
            <w:pPr>
              <w:jc w:val="center"/>
              <w:rPr>
                <w:b/>
                <w:bCs/>
              </w:rPr>
            </w:pPr>
            <w:r w:rsidRPr="000C0763">
              <w:rPr>
                <w:b/>
                <w:bCs/>
              </w:rPr>
              <w:t>Notes</w:t>
            </w:r>
          </w:p>
        </w:tc>
      </w:tr>
      <w:tr w:rsidR="00362A8D" w14:paraId="57B0E864" w14:textId="77777777" w:rsidTr="00362A8D">
        <w:tc>
          <w:tcPr>
            <w:tcW w:w="2072" w:type="dxa"/>
          </w:tcPr>
          <w:p w14:paraId="0FFB3C48" w14:textId="223757B6" w:rsidR="00362A8D" w:rsidRDefault="00362A8D" w:rsidP="00946303">
            <w:r>
              <w:t xml:space="preserve">Q&amp;A </w:t>
            </w:r>
            <w:r w:rsidR="000C0763">
              <w:t>Deadline</w:t>
            </w:r>
          </w:p>
        </w:tc>
        <w:tc>
          <w:tcPr>
            <w:tcW w:w="2337" w:type="dxa"/>
          </w:tcPr>
          <w:p w14:paraId="34446009" w14:textId="1C028F33" w:rsidR="00362A8D" w:rsidRDefault="000C0763" w:rsidP="00946303">
            <w:r>
              <w:t>8 May 2020</w:t>
            </w:r>
          </w:p>
        </w:tc>
        <w:tc>
          <w:tcPr>
            <w:tcW w:w="4681" w:type="dxa"/>
          </w:tcPr>
          <w:p w14:paraId="3E2516DB" w14:textId="7FAF63AF" w:rsidR="00362A8D" w:rsidRDefault="00362A8D" w:rsidP="00946303">
            <w:r>
              <w:t xml:space="preserve">Submit questions using </w:t>
            </w:r>
            <w:hyperlink r:id="rId9" w:history="1">
              <w:r w:rsidRPr="00362A8D">
                <w:rPr>
                  <w:rStyle w:val="Hyperlink"/>
                </w:rPr>
                <w:t>RFP Question Template</w:t>
              </w:r>
            </w:hyperlink>
          </w:p>
        </w:tc>
      </w:tr>
      <w:tr w:rsidR="00362A8D" w14:paraId="16F028DC" w14:textId="77777777" w:rsidTr="00362A8D">
        <w:tc>
          <w:tcPr>
            <w:tcW w:w="2072" w:type="dxa"/>
          </w:tcPr>
          <w:p w14:paraId="38D02549" w14:textId="595B0F5F" w:rsidR="00362A8D" w:rsidRDefault="00362A8D" w:rsidP="00946303">
            <w:r>
              <w:t>Submission Deadline</w:t>
            </w:r>
          </w:p>
        </w:tc>
        <w:tc>
          <w:tcPr>
            <w:tcW w:w="2337" w:type="dxa"/>
          </w:tcPr>
          <w:p w14:paraId="24333D02" w14:textId="70C38265" w:rsidR="00362A8D" w:rsidRDefault="00362A8D" w:rsidP="00946303">
            <w:r>
              <w:t>15 May 2020</w:t>
            </w:r>
          </w:p>
        </w:tc>
        <w:tc>
          <w:tcPr>
            <w:tcW w:w="4681" w:type="dxa"/>
          </w:tcPr>
          <w:p w14:paraId="5CB8473F" w14:textId="2B0E5A4F" w:rsidR="00362A8D" w:rsidRDefault="007C014E" w:rsidP="00946303">
            <w:r>
              <w:t>Submit via email.</w:t>
            </w:r>
          </w:p>
        </w:tc>
      </w:tr>
      <w:tr w:rsidR="00362A8D" w14:paraId="4B5358B5" w14:textId="77777777" w:rsidTr="00362A8D">
        <w:tc>
          <w:tcPr>
            <w:tcW w:w="2072" w:type="dxa"/>
          </w:tcPr>
          <w:p w14:paraId="165C4AEE" w14:textId="21407055" w:rsidR="00362A8D" w:rsidRDefault="00362A8D" w:rsidP="00946303">
            <w:r>
              <w:t>Review Period</w:t>
            </w:r>
          </w:p>
        </w:tc>
        <w:tc>
          <w:tcPr>
            <w:tcW w:w="2337" w:type="dxa"/>
          </w:tcPr>
          <w:p w14:paraId="6DB3391E" w14:textId="6B96260B" w:rsidR="00362A8D" w:rsidRDefault="00362A8D" w:rsidP="00946303">
            <w:r>
              <w:t>18-29 May 2020</w:t>
            </w:r>
          </w:p>
        </w:tc>
        <w:tc>
          <w:tcPr>
            <w:tcW w:w="4681" w:type="dxa"/>
          </w:tcPr>
          <w:p w14:paraId="0FA317A2" w14:textId="74E22544" w:rsidR="00362A8D" w:rsidRDefault="00362A8D" w:rsidP="00946303">
            <w:r>
              <w:t>Bedrock GF Workgroup to hold on-demand review mtgs via Zoom.</w:t>
            </w:r>
          </w:p>
        </w:tc>
      </w:tr>
      <w:tr w:rsidR="00362A8D" w14:paraId="537939A7" w14:textId="77777777" w:rsidTr="00362A8D">
        <w:tc>
          <w:tcPr>
            <w:tcW w:w="2072" w:type="dxa"/>
          </w:tcPr>
          <w:p w14:paraId="577EED19" w14:textId="5B4BFC29" w:rsidR="00362A8D" w:rsidRDefault="00362A8D" w:rsidP="00946303">
            <w:r>
              <w:t>Decision Date</w:t>
            </w:r>
          </w:p>
        </w:tc>
        <w:tc>
          <w:tcPr>
            <w:tcW w:w="2337" w:type="dxa"/>
          </w:tcPr>
          <w:p w14:paraId="3B5AADA7" w14:textId="1DDFE11D" w:rsidR="00362A8D" w:rsidRDefault="00362A8D" w:rsidP="00946303">
            <w:r>
              <w:t>5 June 2020</w:t>
            </w:r>
            <w:r w:rsidR="00AF42D3">
              <w:t xml:space="preserve"> (</w:t>
            </w:r>
            <w:r w:rsidR="00AF42D3" w:rsidRPr="00AF42D3">
              <w:rPr>
                <w:i/>
                <w:iCs/>
              </w:rPr>
              <w:t>tentative</w:t>
            </w:r>
            <w:r w:rsidR="00AF42D3">
              <w:t>)</w:t>
            </w:r>
          </w:p>
        </w:tc>
        <w:tc>
          <w:tcPr>
            <w:tcW w:w="4681" w:type="dxa"/>
          </w:tcPr>
          <w:p w14:paraId="20C4A3C8" w14:textId="0DFDFC07" w:rsidR="00362A8D" w:rsidRDefault="007C014E" w:rsidP="00946303">
            <w:r>
              <w:t>Notification to all respondents will be via ema</w:t>
            </w:r>
            <w:r w:rsidR="00AF42D3">
              <w:t>il</w:t>
            </w:r>
          </w:p>
        </w:tc>
      </w:tr>
    </w:tbl>
    <w:p w14:paraId="0E833A60" w14:textId="77777777" w:rsidR="00DB4481" w:rsidRPr="00946303" w:rsidRDefault="00DB4481" w:rsidP="00946303"/>
    <w:p w14:paraId="4DA1AC97" w14:textId="77777777" w:rsidR="00946303" w:rsidRDefault="00946303" w:rsidP="00946303">
      <w:pPr>
        <w:pStyle w:val="Heading2"/>
      </w:pPr>
    </w:p>
    <w:p w14:paraId="784B5DCF" w14:textId="1F1A43A4" w:rsidR="00946303" w:rsidRPr="00946303" w:rsidRDefault="00946303" w:rsidP="00946303">
      <w:pPr>
        <w:pStyle w:val="Heading2"/>
      </w:pPr>
      <w:r w:rsidRPr="00946303">
        <w:t>Time and Place of Submission of Proposals</w:t>
      </w:r>
    </w:p>
    <w:p w14:paraId="7E5ABF43" w14:textId="56C14D22" w:rsidR="00946303" w:rsidRDefault="00AF42D3" w:rsidP="00946303">
      <w:r>
        <w:t>Submission process:</w:t>
      </w:r>
    </w:p>
    <w:p w14:paraId="50B8FE5F" w14:textId="2A7328C8" w:rsidR="00AF42D3" w:rsidRDefault="00AF42D3" w:rsidP="00AF42D3">
      <w:pPr>
        <w:pStyle w:val="ListParagraph"/>
        <w:numPr>
          <w:ilvl w:val="0"/>
          <w:numId w:val="3"/>
        </w:numPr>
      </w:pPr>
      <w:r>
        <w:t>Format: PDF</w:t>
      </w:r>
    </w:p>
    <w:p w14:paraId="451043D1" w14:textId="4D48DCF6" w:rsidR="00946303" w:rsidRDefault="00AF42D3" w:rsidP="00AF42D3">
      <w:pPr>
        <w:pStyle w:val="ListParagraph"/>
        <w:numPr>
          <w:ilvl w:val="0"/>
          <w:numId w:val="3"/>
        </w:numPr>
      </w:pPr>
      <w:r>
        <w:t>Mode: Email to PCP</w:t>
      </w:r>
    </w:p>
    <w:p w14:paraId="63BF0776" w14:textId="03B2232D" w:rsidR="00AF42D3" w:rsidRDefault="00AF42D3" w:rsidP="00AF42D3">
      <w:pPr>
        <w:pStyle w:val="ListParagraph"/>
        <w:numPr>
          <w:ilvl w:val="0"/>
          <w:numId w:val="3"/>
        </w:numPr>
      </w:pPr>
      <w:r>
        <w:t>Date / Time: 5:00pm EST 15 May 2020</w:t>
      </w:r>
    </w:p>
    <w:p w14:paraId="3013ED2A" w14:textId="11B6164E" w:rsidR="00AF42D3" w:rsidRDefault="00AF42D3" w:rsidP="00AF42D3"/>
    <w:p w14:paraId="11825AC6" w14:textId="77777777" w:rsidR="00AF42D3" w:rsidRDefault="00AF42D3" w:rsidP="00AF42D3"/>
    <w:p w14:paraId="7A687149" w14:textId="26812FB7" w:rsidR="00946303" w:rsidRPr="00946303" w:rsidRDefault="00946303" w:rsidP="00946303">
      <w:pPr>
        <w:pStyle w:val="Heading2"/>
      </w:pPr>
      <w:r w:rsidRPr="00946303">
        <w:t>Timeline</w:t>
      </w:r>
    </w:p>
    <w:p w14:paraId="13CEF8C8" w14:textId="1C7D9EA7" w:rsidR="00946303" w:rsidRPr="00946303" w:rsidRDefault="00132DB3" w:rsidP="00AF42D3">
      <w:r>
        <w:t>Th</w:t>
      </w:r>
      <w:r w:rsidR="00AF42D3">
        <w:t>e</w:t>
      </w:r>
      <w:r>
        <w:t xml:space="preserve"> requested proposal is for an annual contract and should be sized and budgeted accordingly. </w:t>
      </w:r>
    </w:p>
    <w:p w14:paraId="2C2DDBC6" w14:textId="77777777" w:rsidR="00946303" w:rsidRDefault="00946303" w:rsidP="00946303">
      <w:pPr>
        <w:pStyle w:val="Heading2"/>
      </w:pPr>
    </w:p>
    <w:p w14:paraId="062ABC7E" w14:textId="2B8BC5BE" w:rsidR="00946303" w:rsidRPr="00946303" w:rsidRDefault="00946303" w:rsidP="00946303">
      <w:pPr>
        <w:pStyle w:val="Heading2"/>
      </w:pPr>
      <w:r w:rsidRPr="00946303">
        <w:t>Elements of Proposal</w:t>
      </w:r>
    </w:p>
    <w:p w14:paraId="0A93BFCE" w14:textId="2D9B8FF1" w:rsidR="00380049" w:rsidRDefault="00380049" w:rsidP="00946303">
      <w:r>
        <w:t>Respondent Checklist:</w:t>
      </w:r>
    </w:p>
    <w:p w14:paraId="08F7CC7B" w14:textId="256C4B59" w:rsidR="00380049" w:rsidRDefault="00380049" w:rsidP="00946303"/>
    <w:tbl>
      <w:tblPr>
        <w:tblStyle w:val="TableGrid"/>
        <w:tblW w:w="9450" w:type="dxa"/>
        <w:tblInd w:w="265" w:type="dxa"/>
        <w:tblLook w:val="04A0" w:firstRow="1" w:lastRow="0" w:firstColumn="1" w:lastColumn="0" w:noHBand="0" w:noVBand="1"/>
      </w:tblPr>
      <w:tblGrid>
        <w:gridCol w:w="2072"/>
        <w:gridCol w:w="7378"/>
      </w:tblGrid>
      <w:tr w:rsidR="008A4E6B" w14:paraId="6F639C7E" w14:textId="77777777" w:rsidTr="008A4E6B">
        <w:tc>
          <w:tcPr>
            <w:tcW w:w="2072" w:type="dxa"/>
          </w:tcPr>
          <w:p w14:paraId="1FB56CD3" w14:textId="26DF64C5" w:rsidR="008A4E6B" w:rsidRPr="001B4040" w:rsidRDefault="008A4E6B" w:rsidP="00380049">
            <w:pPr>
              <w:rPr>
                <w:b/>
                <w:bCs/>
              </w:rPr>
            </w:pPr>
            <w:r w:rsidRPr="001B4040">
              <w:rPr>
                <w:b/>
                <w:bCs/>
              </w:rPr>
              <w:t>Submission Item</w:t>
            </w:r>
          </w:p>
        </w:tc>
        <w:tc>
          <w:tcPr>
            <w:tcW w:w="7378" w:type="dxa"/>
          </w:tcPr>
          <w:p w14:paraId="7AE99E1C" w14:textId="3C522B28" w:rsidR="008A4E6B" w:rsidRPr="001B4040" w:rsidRDefault="008A4E6B" w:rsidP="00380049">
            <w:pPr>
              <w:rPr>
                <w:b/>
                <w:bCs/>
              </w:rPr>
            </w:pPr>
            <w:r w:rsidRPr="001B4040">
              <w:rPr>
                <w:b/>
                <w:bCs/>
              </w:rPr>
              <w:t>Description</w:t>
            </w:r>
          </w:p>
        </w:tc>
      </w:tr>
      <w:tr w:rsidR="008A4E6B" w14:paraId="405FA4AA" w14:textId="77777777" w:rsidTr="008A4E6B">
        <w:tc>
          <w:tcPr>
            <w:tcW w:w="2072" w:type="dxa"/>
          </w:tcPr>
          <w:p w14:paraId="5B778595" w14:textId="13197307" w:rsidR="008A4E6B" w:rsidRDefault="008A4E6B" w:rsidP="008A4E6B">
            <w:r w:rsidRPr="005845E9">
              <w:t>Cover Letter</w:t>
            </w:r>
          </w:p>
        </w:tc>
        <w:tc>
          <w:tcPr>
            <w:tcW w:w="7378" w:type="dxa"/>
          </w:tcPr>
          <w:p w14:paraId="7B3F2447" w14:textId="1B43BCC9" w:rsidR="008A4E6B" w:rsidRDefault="008A4E6B" w:rsidP="008A4E6B">
            <w:r>
              <w:t>Introduction of Respondent to Consortium</w:t>
            </w:r>
          </w:p>
        </w:tc>
      </w:tr>
      <w:tr w:rsidR="008A4E6B" w14:paraId="6E1461E1" w14:textId="77777777" w:rsidTr="008A4E6B">
        <w:tc>
          <w:tcPr>
            <w:tcW w:w="2072" w:type="dxa"/>
          </w:tcPr>
          <w:p w14:paraId="303CE4C0" w14:textId="5116D278" w:rsidR="008A4E6B" w:rsidRDefault="008A4E6B" w:rsidP="008A4E6B">
            <w:r w:rsidRPr="005845E9">
              <w:t>Utility Service Provider Mission</w:t>
            </w:r>
          </w:p>
        </w:tc>
        <w:tc>
          <w:tcPr>
            <w:tcW w:w="7378" w:type="dxa"/>
          </w:tcPr>
          <w:p w14:paraId="1655A129" w14:textId="3C76FFC3" w:rsidR="008A4E6B" w:rsidRDefault="008A4E6B" w:rsidP="008A4E6B">
            <w:r>
              <w:t xml:space="preserve">Declaration of respondent’s mission in the new </w:t>
            </w:r>
            <w:proofErr w:type="spellStart"/>
            <w:r>
              <w:t>ToIP</w:t>
            </w:r>
            <w:proofErr w:type="spellEnd"/>
            <w:r>
              <w:t xml:space="preserve"> ecosystem of Foundry Service Providers.  Goal here is to demonstrate commitment, scope and role in the </w:t>
            </w:r>
            <w:r w:rsidR="001B4040">
              <w:t>industry. This is also where the respondent should provide some degree of familiarity with Hyperledger Indy.</w:t>
            </w:r>
          </w:p>
        </w:tc>
      </w:tr>
      <w:tr w:rsidR="008A4E6B" w14:paraId="31DA22C5" w14:textId="77777777" w:rsidTr="008A4E6B">
        <w:tc>
          <w:tcPr>
            <w:tcW w:w="2072" w:type="dxa"/>
          </w:tcPr>
          <w:p w14:paraId="1EFBF997" w14:textId="3E78ADBE" w:rsidR="008A4E6B" w:rsidRDefault="008A4E6B" w:rsidP="008A4E6B">
            <w:r w:rsidRPr="005845E9">
              <w:t>Budget</w:t>
            </w:r>
          </w:p>
        </w:tc>
        <w:tc>
          <w:tcPr>
            <w:tcW w:w="7378" w:type="dxa"/>
          </w:tcPr>
          <w:p w14:paraId="575D5030" w14:textId="0D06243D" w:rsidR="008A4E6B" w:rsidRDefault="008A4E6B" w:rsidP="008A4E6B">
            <w:r>
              <w:t>Line item sizing of proposed services.</w:t>
            </w:r>
          </w:p>
        </w:tc>
      </w:tr>
      <w:tr w:rsidR="008A4E6B" w14:paraId="5F924590" w14:textId="77777777" w:rsidTr="008A4E6B">
        <w:tc>
          <w:tcPr>
            <w:tcW w:w="2072" w:type="dxa"/>
          </w:tcPr>
          <w:p w14:paraId="1874B789" w14:textId="21C14B36" w:rsidR="008A4E6B" w:rsidRDefault="008A4E6B" w:rsidP="008A4E6B">
            <w:r w:rsidRPr="005845E9">
              <w:t xml:space="preserve">Prospective Team </w:t>
            </w:r>
          </w:p>
        </w:tc>
        <w:tc>
          <w:tcPr>
            <w:tcW w:w="7378" w:type="dxa"/>
          </w:tcPr>
          <w:p w14:paraId="4E139043" w14:textId="0EE78FDF" w:rsidR="008A4E6B" w:rsidRDefault="001B4040" w:rsidP="008A4E6B">
            <w:r>
              <w:t xml:space="preserve">Short bios of prospective team. </w:t>
            </w:r>
          </w:p>
        </w:tc>
      </w:tr>
      <w:tr w:rsidR="008A4E6B" w14:paraId="015878C3" w14:textId="77777777" w:rsidTr="008A4E6B">
        <w:tc>
          <w:tcPr>
            <w:tcW w:w="2072" w:type="dxa"/>
          </w:tcPr>
          <w:p w14:paraId="5342461C" w14:textId="40765099" w:rsidR="008A4E6B" w:rsidRDefault="008A4E6B" w:rsidP="008A4E6B">
            <w:r w:rsidRPr="005845E9">
              <w:t xml:space="preserve">Itemized Services  </w:t>
            </w:r>
          </w:p>
        </w:tc>
        <w:tc>
          <w:tcPr>
            <w:tcW w:w="7378" w:type="dxa"/>
          </w:tcPr>
          <w:p w14:paraId="30888B65" w14:textId="1887C741" w:rsidR="008A4E6B" w:rsidRDefault="001B4040" w:rsidP="008A4E6B">
            <w:r>
              <w:t>List services to be provided (</w:t>
            </w:r>
            <w:r w:rsidRPr="005845E9">
              <w:t>Required</w:t>
            </w:r>
            <w:r>
              <w:t xml:space="preserve"> and</w:t>
            </w:r>
            <w:r w:rsidRPr="005845E9">
              <w:t xml:space="preserve"> Suggested)</w:t>
            </w:r>
          </w:p>
        </w:tc>
      </w:tr>
      <w:tr w:rsidR="008A4E6B" w14:paraId="06BBCFA6" w14:textId="77777777" w:rsidTr="008A4E6B">
        <w:tc>
          <w:tcPr>
            <w:tcW w:w="2072" w:type="dxa"/>
          </w:tcPr>
          <w:p w14:paraId="347A5938" w14:textId="28AB4220" w:rsidR="008A4E6B" w:rsidRDefault="008A4E6B" w:rsidP="008A4E6B">
            <w:r w:rsidRPr="005845E9">
              <w:t xml:space="preserve">Architecture Plans </w:t>
            </w:r>
          </w:p>
        </w:tc>
        <w:tc>
          <w:tcPr>
            <w:tcW w:w="7378" w:type="dxa"/>
          </w:tcPr>
          <w:p w14:paraId="54BD8C4A" w14:textId="2539C9DA" w:rsidR="008A4E6B" w:rsidRDefault="001B4040" w:rsidP="008A4E6B">
            <w:r>
              <w:t xml:space="preserve">Demonstration of how respondent plans on tackling some of the services in a creative manner. </w:t>
            </w:r>
          </w:p>
        </w:tc>
      </w:tr>
      <w:tr w:rsidR="008A4E6B" w14:paraId="29E5697F" w14:textId="77777777" w:rsidTr="008A4E6B">
        <w:tc>
          <w:tcPr>
            <w:tcW w:w="2072" w:type="dxa"/>
          </w:tcPr>
          <w:p w14:paraId="18E3FB20" w14:textId="4D1492BA" w:rsidR="008A4E6B" w:rsidRDefault="008A4E6B" w:rsidP="008A4E6B">
            <w:r w:rsidRPr="005845E9">
              <w:t>Statement of Work</w:t>
            </w:r>
          </w:p>
        </w:tc>
        <w:tc>
          <w:tcPr>
            <w:tcW w:w="7378" w:type="dxa"/>
          </w:tcPr>
          <w:p w14:paraId="7D25B032" w14:textId="39F4B41F" w:rsidR="008A4E6B" w:rsidRDefault="001B4040" w:rsidP="008A4E6B">
            <w:r>
              <w:t>An executable contract.</w:t>
            </w:r>
          </w:p>
        </w:tc>
      </w:tr>
    </w:tbl>
    <w:p w14:paraId="469365CE" w14:textId="77777777" w:rsidR="00380049" w:rsidRDefault="00380049" w:rsidP="00946303"/>
    <w:p w14:paraId="024DF88B" w14:textId="77777777" w:rsidR="00380049" w:rsidRPr="00946303" w:rsidRDefault="00380049" w:rsidP="00946303"/>
    <w:p w14:paraId="528BD514" w14:textId="083EA0BD" w:rsidR="00946303" w:rsidRDefault="00946303" w:rsidP="00946303">
      <w:pPr>
        <w:pStyle w:val="Heading2"/>
      </w:pPr>
    </w:p>
    <w:p w14:paraId="65A927DB" w14:textId="256AFB6A" w:rsidR="000C0763" w:rsidRDefault="000C0763" w:rsidP="000C0763"/>
    <w:p w14:paraId="143BD8D8" w14:textId="56FA86F2" w:rsidR="000C0763" w:rsidRDefault="000C0763" w:rsidP="000C0763"/>
    <w:p w14:paraId="6417DFC2" w14:textId="02EFFA42" w:rsidR="000C0763" w:rsidRDefault="000C0763" w:rsidP="000C0763"/>
    <w:p w14:paraId="4B607537" w14:textId="77777777" w:rsidR="000C0763" w:rsidRPr="000C0763" w:rsidRDefault="000C0763" w:rsidP="000C0763"/>
    <w:p w14:paraId="4F8574B9" w14:textId="59CE186C" w:rsidR="00946303" w:rsidRPr="00946303" w:rsidRDefault="00946303" w:rsidP="00946303">
      <w:pPr>
        <w:pStyle w:val="Heading2"/>
      </w:pPr>
      <w:r w:rsidRPr="00946303">
        <w:lastRenderedPageBreak/>
        <w:t>Evaluation Criteria</w:t>
      </w:r>
    </w:p>
    <w:p w14:paraId="4DDBAB95" w14:textId="69D28846" w:rsidR="00946303" w:rsidRDefault="00ED3DA7" w:rsidP="00946303">
      <w:r>
        <w:t xml:space="preserve">The following indicators MAY be used in the assessment process: </w:t>
      </w:r>
    </w:p>
    <w:p w14:paraId="4CC2DFF0" w14:textId="77777777" w:rsidR="00ED3DA7" w:rsidRDefault="00ED3DA7" w:rsidP="00946303"/>
    <w:tbl>
      <w:tblPr>
        <w:tblStyle w:val="TableGrid"/>
        <w:tblW w:w="9450" w:type="dxa"/>
        <w:tblInd w:w="265" w:type="dxa"/>
        <w:tblLook w:val="04A0" w:firstRow="1" w:lastRow="0" w:firstColumn="1" w:lastColumn="0" w:noHBand="0" w:noVBand="1"/>
      </w:tblPr>
      <w:tblGrid>
        <w:gridCol w:w="1800"/>
        <w:gridCol w:w="7650"/>
      </w:tblGrid>
      <w:tr w:rsidR="001B4040" w14:paraId="2461D269" w14:textId="77777777" w:rsidTr="00ED3DA7">
        <w:tc>
          <w:tcPr>
            <w:tcW w:w="1800" w:type="dxa"/>
          </w:tcPr>
          <w:p w14:paraId="7258368A" w14:textId="048B9DD0" w:rsidR="001B4040" w:rsidRPr="001B4040" w:rsidRDefault="001B4040" w:rsidP="00181112">
            <w:pPr>
              <w:rPr>
                <w:b/>
                <w:bCs/>
              </w:rPr>
            </w:pPr>
            <w:r>
              <w:rPr>
                <w:b/>
                <w:bCs/>
              </w:rPr>
              <w:t xml:space="preserve">Criteria </w:t>
            </w:r>
          </w:p>
        </w:tc>
        <w:tc>
          <w:tcPr>
            <w:tcW w:w="7650" w:type="dxa"/>
          </w:tcPr>
          <w:p w14:paraId="3D3138EE" w14:textId="77777777" w:rsidR="001B4040" w:rsidRPr="001B4040" w:rsidRDefault="001B4040" w:rsidP="00181112">
            <w:pPr>
              <w:rPr>
                <w:b/>
                <w:bCs/>
              </w:rPr>
            </w:pPr>
            <w:r w:rsidRPr="001B4040">
              <w:rPr>
                <w:b/>
                <w:bCs/>
              </w:rPr>
              <w:t>Description</w:t>
            </w:r>
          </w:p>
        </w:tc>
      </w:tr>
      <w:tr w:rsidR="001B4040" w14:paraId="7C505656" w14:textId="77777777" w:rsidTr="00ED3DA7">
        <w:tc>
          <w:tcPr>
            <w:tcW w:w="1800" w:type="dxa"/>
          </w:tcPr>
          <w:p w14:paraId="57D1D8B7" w14:textId="6258160B" w:rsidR="001B4040" w:rsidRDefault="001B4040" w:rsidP="00181112">
            <w:r>
              <w:t>Blockchain Experience</w:t>
            </w:r>
          </w:p>
        </w:tc>
        <w:tc>
          <w:tcPr>
            <w:tcW w:w="7650" w:type="dxa"/>
          </w:tcPr>
          <w:p w14:paraId="2873C4C4" w14:textId="2AA93D57" w:rsidR="001B4040" w:rsidRDefault="001B4040" w:rsidP="00181112">
            <w:r>
              <w:t>Proven experience as an operator of blockchain networks.</w:t>
            </w:r>
          </w:p>
        </w:tc>
      </w:tr>
      <w:tr w:rsidR="001B4040" w14:paraId="15B0E740" w14:textId="77777777" w:rsidTr="00ED3DA7">
        <w:tc>
          <w:tcPr>
            <w:tcW w:w="1800" w:type="dxa"/>
          </w:tcPr>
          <w:p w14:paraId="310D17DB" w14:textId="007151F2" w:rsidR="001B4040" w:rsidRDefault="001B4040" w:rsidP="00181112">
            <w:r>
              <w:t>Foundry Service Provider</w:t>
            </w:r>
          </w:p>
        </w:tc>
        <w:tc>
          <w:tcPr>
            <w:tcW w:w="7650" w:type="dxa"/>
          </w:tcPr>
          <w:p w14:paraId="5E58F4B7" w14:textId="6DDA1407" w:rsidR="001B4040" w:rsidRDefault="001B4040" w:rsidP="00181112">
            <w:r>
              <w:t xml:space="preserve">An understanding and participant in the </w:t>
            </w:r>
            <w:proofErr w:type="spellStart"/>
            <w:r>
              <w:t>ToIP</w:t>
            </w:r>
            <w:proofErr w:type="spellEnd"/>
            <w:r>
              <w:t xml:space="preserve"> Foundation community. </w:t>
            </w:r>
          </w:p>
        </w:tc>
      </w:tr>
      <w:tr w:rsidR="001B4040" w14:paraId="6C0F06E3" w14:textId="77777777" w:rsidTr="00ED3DA7">
        <w:tc>
          <w:tcPr>
            <w:tcW w:w="1800" w:type="dxa"/>
          </w:tcPr>
          <w:p w14:paraId="3EA442C3" w14:textId="77777777" w:rsidR="001B4040" w:rsidRDefault="001B4040" w:rsidP="00181112">
            <w:r w:rsidRPr="005845E9">
              <w:t>Budget</w:t>
            </w:r>
          </w:p>
        </w:tc>
        <w:tc>
          <w:tcPr>
            <w:tcW w:w="7650" w:type="dxa"/>
          </w:tcPr>
          <w:p w14:paraId="3EA21BBD" w14:textId="6ED933EC" w:rsidR="001B4040" w:rsidRDefault="00ED3DA7" w:rsidP="00181112">
            <w:r>
              <w:t xml:space="preserve">Cost is of key factor, especially since this opportunity will be a </w:t>
            </w:r>
            <w:r w:rsidR="002105CB">
              <w:t>skill</w:t>
            </w:r>
            <w:r>
              <w:t xml:space="preserve"> building opportunity for all.   </w:t>
            </w:r>
          </w:p>
        </w:tc>
      </w:tr>
      <w:tr w:rsidR="001B4040" w14:paraId="66C983A9" w14:textId="77777777" w:rsidTr="00ED3DA7">
        <w:tc>
          <w:tcPr>
            <w:tcW w:w="1800" w:type="dxa"/>
          </w:tcPr>
          <w:p w14:paraId="17881B84" w14:textId="64CF02FC" w:rsidR="001B4040" w:rsidRDefault="00ED3DA7" w:rsidP="00181112">
            <w:r>
              <w:t>Breath of Services</w:t>
            </w:r>
            <w:r w:rsidR="001B4040" w:rsidRPr="005845E9">
              <w:t xml:space="preserve"> </w:t>
            </w:r>
          </w:p>
        </w:tc>
        <w:tc>
          <w:tcPr>
            <w:tcW w:w="7650" w:type="dxa"/>
          </w:tcPr>
          <w:p w14:paraId="5B9463E7" w14:textId="2C911948" w:rsidR="001B4040" w:rsidRDefault="00ED3DA7" w:rsidP="00181112">
            <w:r>
              <w:t xml:space="preserve">Portfolio of services that can be of assistance to the Consortium and its members. </w:t>
            </w:r>
          </w:p>
        </w:tc>
      </w:tr>
      <w:tr w:rsidR="001B4040" w14:paraId="30B55DF6" w14:textId="77777777" w:rsidTr="00ED3DA7">
        <w:tc>
          <w:tcPr>
            <w:tcW w:w="1800" w:type="dxa"/>
          </w:tcPr>
          <w:p w14:paraId="5BCCD611" w14:textId="073C6F08" w:rsidR="001B4040" w:rsidRDefault="00ED3DA7" w:rsidP="00181112">
            <w:r>
              <w:t xml:space="preserve">Collaboration </w:t>
            </w:r>
            <w:r w:rsidR="001B4040" w:rsidRPr="005845E9">
              <w:t xml:space="preserve">  </w:t>
            </w:r>
          </w:p>
        </w:tc>
        <w:tc>
          <w:tcPr>
            <w:tcW w:w="7650" w:type="dxa"/>
          </w:tcPr>
          <w:p w14:paraId="5C3D24B0" w14:textId="298A92C0" w:rsidR="001B4040" w:rsidRDefault="00ED3DA7" w:rsidP="00181112">
            <w:r>
              <w:t xml:space="preserve">Ability to collaborate with Linux Foundation, Consortium, </w:t>
            </w:r>
            <w:proofErr w:type="spellStart"/>
            <w:r>
              <w:t>ToIP</w:t>
            </w:r>
            <w:proofErr w:type="spellEnd"/>
            <w:r>
              <w:t xml:space="preserve"> Foundation Working Groups and BBU members.</w:t>
            </w:r>
          </w:p>
        </w:tc>
      </w:tr>
      <w:tr w:rsidR="001B4040" w14:paraId="25E3E449" w14:textId="77777777" w:rsidTr="00ED3DA7">
        <w:tc>
          <w:tcPr>
            <w:tcW w:w="1800" w:type="dxa"/>
          </w:tcPr>
          <w:p w14:paraId="38E28108" w14:textId="71A549CC" w:rsidR="001B4040" w:rsidRDefault="00ED3DA7" w:rsidP="00181112">
            <w:r>
              <w:t>Leadership</w:t>
            </w:r>
            <w:r w:rsidR="001B4040" w:rsidRPr="005845E9">
              <w:t xml:space="preserve"> </w:t>
            </w:r>
          </w:p>
        </w:tc>
        <w:tc>
          <w:tcPr>
            <w:tcW w:w="7650" w:type="dxa"/>
          </w:tcPr>
          <w:p w14:paraId="647CE180" w14:textId="39E4758A" w:rsidR="001B4040" w:rsidRDefault="00ED3DA7" w:rsidP="00181112">
            <w:r>
              <w:t xml:space="preserve">Thought leadership on behalf of Consortium. </w:t>
            </w:r>
          </w:p>
        </w:tc>
      </w:tr>
    </w:tbl>
    <w:p w14:paraId="1DD53B6F" w14:textId="77777777" w:rsidR="00946303" w:rsidRDefault="00946303" w:rsidP="00946303">
      <w:pPr>
        <w:pStyle w:val="Heading2"/>
      </w:pPr>
    </w:p>
    <w:p w14:paraId="7F524CD1" w14:textId="19DBBC58" w:rsidR="00946303" w:rsidRPr="00946303" w:rsidRDefault="00946303" w:rsidP="00946303">
      <w:pPr>
        <w:pStyle w:val="Heading2"/>
      </w:pPr>
      <w:r w:rsidRPr="00946303">
        <w:t>Possible Roadblocks</w:t>
      </w:r>
    </w:p>
    <w:p w14:paraId="1359D807" w14:textId="2F51F377" w:rsidR="00946303" w:rsidRPr="00946303" w:rsidRDefault="001B4040" w:rsidP="00946303">
      <w:r>
        <w:t xml:space="preserve">Successful respondents will be able to demonstrate Hyperledger Indy experience as well as a keen desire to work with the Consortium as a partner to refine the requirements and best practices for operating an identity utility. </w:t>
      </w:r>
    </w:p>
    <w:p w14:paraId="6923BD7E" w14:textId="77777777" w:rsidR="00946303" w:rsidRDefault="00946303" w:rsidP="00946303">
      <w:pPr>
        <w:pStyle w:val="Heading2"/>
      </w:pPr>
    </w:p>
    <w:p w14:paraId="78C13FCF" w14:textId="376642F7" w:rsidR="00946303" w:rsidRPr="00946303" w:rsidRDefault="00946303" w:rsidP="00946303">
      <w:pPr>
        <w:pStyle w:val="Heading2"/>
      </w:pPr>
      <w:r w:rsidRPr="00946303">
        <w:t>Budget</w:t>
      </w:r>
    </w:p>
    <w:p w14:paraId="0360FE04" w14:textId="42F1D18E" w:rsidR="00380049" w:rsidRDefault="00380049" w:rsidP="00946303">
      <w:r>
        <w:t xml:space="preserve">This request pertains to an opportunity for a respondent to develop skills in the early stages of the establishment of a digital trust marketplace. As such, many budgetary unknowns will exist. The Consortium will use as a benchmark the fact that these services were being performed by 2-3 people within the Sovrin Foundation in support of 75+ Stewards for one identity Utility. These individual as were also performing other development work for the community outside the scope of these services in parallel. </w:t>
      </w:r>
    </w:p>
    <w:sectPr w:rsidR="00380049" w:rsidSect="005A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IBM Plex Sans Condensed">
    <w:panose1 w:val="020B0506050203000203"/>
    <w:charset w:val="4D"/>
    <w:family w:val="swiss"/>
    <w:pitch w:val="variable"/>
    <w:sig w:usb0="A000006F" w:usb1="5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D51B4"/>
    <w:multiLevelType w:val="hybridMultilevel"/>
    <w:tmpl w:val="751E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7068"/>
    <w:multiLevelType w:val="hybridMultilevel"/>
    <w:tmpl w:val="3694343E"/>
    <w:lvl w:ilvl="0" w:tplc="A4A8405E">
      <w:start w:val="1"/>
      <w:numFmt w:val="bullet"/>
      <w:lvlText w:val="•"/>
      <w:lvlJc w:val="left"/>
      <w:pPr>
        <w:tabs>
          <w:tab w:val="num" w:pos="720"/>
        </w:tabs>
        <w:ind w:left="720" w:hanging="360"/>
      </w:pPr>
      <w:rPr>
        <w:rFonts w:ascii="Arial" w:hAnsi="Arial" w:hint="default"/>
      </w:rPr>
    </w:lvl>
    <w:lvl w:ilvl="1" w:tplc="A5C6376A">
      <w:start w:val="1"/>
      <w:numFmt w:val="bullet"/>
      <w:lvlText w:val="•"/>
      <w:lvlJc w:val="left"/>
      <w:pPr>
        <w:tabs>
          <w:tab w:val="num" w:pos="1440"/>
        </w:tabs>
        <w:ind w:left="1440" w:hanging="360"/>
      </w:pPr>
      <w:rPr>
        <w:rFonts w:ascii="Arial" w:hAnsi="Arial" w:hint="default"/>
      </w:rPr>
    </w:lvl>
    <w:lvl w:ilvl="2" w:tplc="58E01EAA" w:tentative="1">
      <w:start w:val="1"/>
      <w:numFmt w:val="bullet"/>
      <w:lvlText w:val="•"/>
      <w:lvlJc w:val="left"/>
      <w:pPr>
        <w:tabs>
          <w:tab w:val="num" w:pos="2160"/>
        </w:tabs>
        <w:ind w:left="2160" w:hanging="360"/>
      </w:pPr>
      <w:rPr>
        <w:rFonts w:ascii="Arial" w:hAnsi="Arial" w:hint="default"/>
      </w:rPr>
    </w:lvl>
    <w:lvl w:ilvl="3" w:tplc="DC962272" w:tentative="1">
      <w:start w:val="1"/>
      <w:numFmt w:val="bullet"/>
      <w:lvlText w:val="•"/>
      <w:lvlJc w:val="left"/>
      <w:pPr>
        <w:tabs>
          <w:tab w:val="num" w:pos="2880"/>
        </w:tabs>
        <w:ind w:left="2880" w:hanging="360"/>
      </w:pPr>
      <w:rPr>
        <w:rFonts w:ascii="Arial" w:hAnsi="Arial" w:hint="default"/>
      </w:rPr>
    </w:lvl>
    <w:lvl w:ilvl="4" w:tplc="F5624D66" w:tentative="1">
      <w:start w:val="1"/>
      <w:numFmt w:val="bullet"/>
      <w:lvlText w:val="•"/>
      <w:lvlJc w:val="left"/>
      <w:pPr>
        <w:tabs>
          <w:tab w:val="num" w:pos="3600"/>
        </w:tabs>
        <w:ind w:left="3600" w:hanging="360"/>
      </w:pPr>
      <w:rPr>
        <w:rFonts w:ascii="Arial" w:hAnsi="Arial" w:hint="default"/>
      </w:rPr>
    </w:lvl>
    <w:lvl w:ilvl="5" w:tplc="C13A4828" w:tentative="1">
      <w:start w:val="1"/>
      <w:numFmt w:val="bullet"/>
      <w:lvlText w:val="•"/>
      <w:lvlJc w:val="left"/>
      <w:pPr>
        <w:tabs>
          <w:tab w:val="num" w:pos="4320"/>
        </w:tabs>
        <w:ind w:left="4320" w:hanging="360"/>
      </w:pPr>
      <w:rPr>
        <w:rFonts w:ascii="Arial" w:hAnsi="Arial" w:hint="default"/>
      </w:rPr>
    </w:lvl>
    <w:lvl w:ilvl="6" w:tplc="9DC890D2" w:tentative="1">
      <w:start w:val="1"/>
      <w:numFmt w:val="bullet"/>
      <w:lvlText w:val="•"/>
      <w:lvlJc w:val="left"/>
      <w:pPr>
        <w:tabs>
          <w:tab w:val="num" w:pos="5040"/>
        </w:tabs>
        <w:ind w:left="5040" w:hanging="360"/>
      </w:pPr>
      <w:rPr>
        <w:rFonts w:ascii="Arial" w:hAnsi="Arial" w:hint="default"/>
      </w:rPr>
    </w:lvl>
    <w:lvl w:ilvl="7" w:tplc="60EC946A" w:tentative="1">
      <w:start w:val="1"/>
      <w:numFmt w:val="bullet"/>
      <w:lvlText w:val="•"/>
      <w:lvlJc w:val="left"/>
      <w:pPr>
        <w:tabs>
          <w:tab w:val="num" w:pos="5760"/>
        </w:tabs>
        <w:ind w:left="5760" w:hanging="360"/>
      </w:pPr>
      <w:rPr>
        <w:rFonts w:ascii="Arial" w:hAnsi="Arial" w:hint="default"/>
      </w:rPr>
    </w:lvl>
    <w:lvl w:ilvl="8" w:tplc="33128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C56DDE"/>
    <w:multiLevelType w:val="hybridMultilevel"/>
    <w:tmpl w:val="566C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271A0"/>
    <w:multiLevelType w:val="hybridMultilevel"/>
    <w:tmpl w:val="A6744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3"/>
    <w:rsid w:val="000C0763"/>
    <w:rsid w:val="000D6519"/>
    <w:rsid w:val="00132DB3"/>
    <w:rsid w:val="001B4040"/>
    <w:rsid w:val="002105CB"/>
    <w:rsid w:val="00362A8D"/>
    <w:rsid w:val="00380049"/>
    <w:rsid w:val="005A35B2"/>
    <w:rsid w:val="00750185"/>
    <w:rsid w:val="00795153"/>
    <w:rsid w:val="007C014E"/>
    <w:rsid w:val="008651A8"/>
    <w:rsid w:val="008A4E6B"/>
    <w:rsid w:val="00946303"/>
    <w:rsid w:val="00951601"/>
    <w:rsid w:val="00A2716E"/>
    <w:rsid w:val="00AF42D3"/>
    <w:rsid w:val="00B27FDD"/>
    <w:rsid w:val="00BB5E9F"/>
    <w:rsid w:val="00C04977"/>
    <w:rsid w:val="00C5227F"/>
    <w:rsid w:val="00C55658"/>
    <w:rsid w:val="00CE49E5"/>
    <w:rsid w:val="00D06831"/>
    <w:rsid w:val="00DB4481"/>
    <w:rsid w:val="00ED3DA7"/>
    <w:rsid w:val="00F2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0DE5"/>
  <w15:chartTrackingRefBased/>
  <w15:docId w15:val="{0BCBF2F2-9C25-C547-A48E-365EA9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81"/>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4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18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1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303"/>
    <w:rPr>
      <w:color w:val="0000FF"/>
      <w:u w:val="single"/>
    </w:rPr>
  </w:style>
  <w:style w:type="character" w:styleId="Strong">
    <w:name w:val="Strong"/>
    <w:basedOn w:val="DefaultParagraphFont"/>
    <w:uiPriority w:val="22"/>
    <w:qFormat/>
    <w:rsid w:val="00946303"/>
    <w:rPr>
      <w:b/>
      <w:bCs/>
    </w:rPr>
  </w:style>
  <w:style w:type="character" w:customStyle="1" w:styleId="Heading2Char">
    <w:name w:val="Heading 2 Char"/>
    <w:basedOn w:val="DefaultParagraphFont"/>
    <w:link w:val="Heading2"/>
    <w:uiPriority w:val="9"/>
    <w:rsid w:val="009463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30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D6519"/>
    <w:rPr>
      <w:color w:val="605E5C"/>
      <w:shd w:val="clear" w:color="auto" w:fill="E1DFDD"/>
    </w:rPr>
  </w:style>
  <w:style w:type="table" w:styleId="TableGrid">
    <w:name w:val="Table Grid"/>
    <w:basedOn w:val="TableNormal"/>
    <w:uiPriority w:val="39"/>
    <w:rsid w:val="00C5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27F"/>
    <w:pPr>
      <w:spacing w:before="100" w:beforeAutospacing="1" w:after="100" w:afterAutospacing="1"/>
    </w:pPr>
    <w:rPr>
      <w:sz w:val="24"/>
      <w:szCs w:val="24"/>
    </w:rPr>
  </w:style>
  <w:style w:type="character" w:styleId="Emphasis">
    <w:name w:val="Emphasis"/>
    <w:basedOn w:val="DefaultParagraphFont"/>
    <w:uiPriority w:val="20"/>
    <w:qFormat/>
    <w:rsid w:val="00C5227F"/>
    <w:rPr>
      <w:i/>
      <w:iCs/>
    </w:rPr>
  </w:style>
  <w:style w:type="character" w:customStyle="1" w:styleId="Heading3Char">
    <w:name w:val="Heading 3 Char"/>
    <w:basedOn w:val="DefaultParagraphFont"/>
    <w:link w:val="Heading3"/>
    <w:uiPriority w:val="9"/>
    <w:rsid w:val="0075018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0185"/>
    <w:rPr>
      <w:rFonts w:asciiTheme="majorHAnsi" w:eastAsiaTheme="majorEastAsia" w:hAnsiTheme="majorHAnsi" w:cstheme="majorBidi"/>
      <w:i/>
      <w:iCs/>
      <w:color w:val="2F5496" w:themeColor="accent1" w:themeShade="BF"/>
      <w:sz w:val="20"/>
      <w:szCs w:val="20"/>
    </w:rPr>
  </w:style>
  <w:style w:type="paragraph" w:styleId="ListParagraph">
    <w:name w:val="List Paragraph"/>
    <w:basedOn w:val="Normal"/>
    <w:uiPriority w:val="34"/>
    <w:qFormat/>
    <w:rsid w:val="0075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02052">
      <w:bodyDiv w:val="1"/>
      <w:marLeft w:val="0"/>
      <w:marRight w:val="0"/>
      <w:marTop w:val="0"/>
      <w:marBottom w:val="0"/>
      <w:divBdr>
        <w:top w:val="none" w:sz="0" w:space="0" w:color="auto"/>
        <w:left w:val="none" w:sz="0" w:space="0" w:color="auto"/>
        <w:bottom w:val="none" w:sz="0" w:space="0" w:color="auto"/>
        <w:right w:val="none" w:sz="0" w:space="0" w:color="auto"/>
      </w:divBdr>
    </w:div>
    <w:div w:id="425611326">
      <w:bodyDiv w:val="1"/>
      <w:marLeft w:val="0"/>
      <w:marRight w:val="0"/>
      <w:marTop w:val="0"/>
      <w:marBottom w:val="0"/>
      <w:divBdr>
        <w:top w:val="none" w:sz="0" w:space="0" w:color="auto"/>
        <w:left w:val="none" w:sz="0" w:space="0" w:color="auto"/>
        <w:bottom w:val="none" w:sz="0" w:space="0" w:color="auto"/>
        <w:right w:val="none" w:sz="0" w:space="0" w:color="auto"/>
      </w:divBdr>
    </w:div>
    <w:div w:id="517894547">
      <w:bodyDiv w:val="1"/>
      <w:marLeft w:val="0"/>
      <w:marRight w:val="0"/>
      <w:marTop w:val="0"/>
      <w:marBottom w:val="0"/>
      <w:divBdr>
        <w:top w:val="none" w:sz="0" w:space="0" w:color="auto"/>
        <w:left w:val="none" w:sz="0" w:space="0" w:color="auto"/>
        <w:bottom w:val="none" w:sz="0" w:space="0" w:color="auto"/>
        <w:right w:val="none" w:sz="0" w:space="0" w:color="auto"/>
      </w:divBdr>
    </w:div>
    <w:div w:id="1182167693">
      <w:bodyDiv w:val="1"/>
      <w:marLeft w:val="0"/>
      <w:marRight w:val="0"/>
      <w:marTop w:val="0"/>
      <w:marBottom w:val="0"/>
      <w:divBdr>
        <w:top w:val="none" w:sz="0" w:space="0" w:color="auto"/>
        <w:left w:val="none" w:sz="0" w:space="0" w:color="auto"/>
        <w:bottom w:val="none" w:sz="0" w:space="0" w:color="auto"/>
        <w:right w:val="none" w:sz="0" w:space="0" w:color="auto"/>
      </w:divBdr>
    </w:div>
    <w:div w:id="1418557632">
      <w:bodyDiv w:val="1"/>
      <w:marLeft w:val="0"/>
      <w:marRight w:val="0"/>
      <w:marTop w:val="0"/>
      <w:marBottom w:val="0"/>
      <w:divBdr>
        <w:top w:val="none" w:sz="0" w:space="0" w:color="auto"/>
        <w:left w:val="none" w:sz="0" w:space="0" w:color="auto"/>
        <w:bottom w:val="none" w:sz="0" w:space="0" w:color="auto"/>
        <w:right w:val="none" w:sz="0" w:space="0" w:color="auto"/>
      </w:divBdr>
    </w:div>
    <w:div w:id="1475826786">
      <w:bodyDiv w:val="1"/>
      <w:marLeft w:val="0"/>
      <w:marRight w:val="0"/>
      <w:marTop w:val="0"/>
      <w:marBottom w:val="0"/>
      <w:divBdr>
        <w:top w:val="none" w:sz="0" w:space="0" w:color="auto"/>
        <w:left w:val="none" w:sz="0" w:space="0" w:color="auto"/>
        <w:bottom w:val="none" w:sz="0" w:space="0" w:color="auto"/>
        <w:right w:val="none" w:sz="0" w:space="0" w:color="auto"/>
      </w:divBdr>
    </w:div>
    <w:div w:id="1778596487">
      <w:bodyDiv w:val="1"/>
      <w:marLeft w:val="0"/>
      <w:marRight w:val="0"/>
      <w:marTop w:val="0"/>
      <w:marBottom w:val="0"/>
      <w:divBdr>
        <w:top w:val="none" w:sz="0" w:space="0" w:color="auto"/>
        <w:left w:val="none" w:sz="0" w:space="0" w:color="auto"/>
        <w:bottom w:val="none" w:sz="0" w:space="0" w:color="auto"/>
        <w:right w:val="none" w:sz="0" w:space="0" w:color="auto"/>
      </w:divBdr>
      <w:divsChild>
        <w:div w:id="1638216910">
          <w:marLeft w:val="1267"/>
          <w:marRight w:val="0"/>
          <w:marTop w:val="0"/>
          <w:marBottom w:val="0"/>
          <w:divBdr>
            <w:top w:val="none" w:sz="0" w:space="0" w:color="auto"/>
            <w:left w:val="none" w:sz="0" w:space="0" w:color="auto"/>
            <w:bottom w:val="none" w:sz="0" w:space="0" w:color="auto"/>
            <w:right w:val="none" w:sz="0" w:space="0" w:color="auto"/>
          </w:divBdr>
        </w:div>
        <w:div w:id="1775393715">
          <w:marLeft w:val="1267"/>
          <w:marRight w:val="0"/>
          <w:marTop w:val="0"/>
          <w:marBottom w:val="0"/>
          <w:divBdr>
            <w:top w:val="none" w:sz="0" w:space="0" w:color="auto"/>
            <w:left w:val="none" w:sz="0" w:space="0" w:color="auto"/>
            <w:bottom w:val="none" w:sz="0" w:space="0" w:color="auto"/>
            <w:right w:val="none" w:sz="0" w:space="0" w:color="auto"/>
          </w:divBdr>
        </w:div>
        <w:div w:id="1564368141">
          <w:marLeft w:val="1267"/>
          <w:marRight w:val="0"/>
          <w:marTop w:val="0"/>
          <w:marBottom w:val="0"/>
          <w:divBdr>
            <w:top w:val="none" w:sz="0" w:space="0" w:color="auto"/>
            <w:left w:val="none" w:sz="0" w:space="0" w:color="auto"/>
            <w:bottom w:val="none" w:sz="0" w:space="0" w:color="auto"/>
            <w:right w:val="none" w:sz="0" w:space="0" w:color="auto"/>
          </w:divBdr>
        </w:div>
      </w:divsChild>
    </w:div>
    <w:div w:id="19128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overip.org/" TargetMode="External"/><Relationship Id="rId3" Type="http://schemas.openxmlformats.org/officeDocument/2006/relationships/settings" Target="settings.xml"/><Relationship Id="rId7" Type="http://schemas.openxmlformats.org/officeDocument/2006/relationships/hyperlink" Target="https://bedrock-consortium.github.io/bbu-g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u.bedrockconsortium.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drock-consortium/bbu-gf/issues/new/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3</cp:revision>
  <dcterms:created xsi:type="dcterms:W3CDTF">2020-04-17T13:59:00Z</dcterms:created>
  <dcterms:modified xsi:type="dcterms:W3CDTF">2020-04-28T13:27:00Z</dcterms:modified>
</cp:coreProperties>
</file>