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687326DF" w14:textId="77777777" w:rsidR="006D5CE8" w:rsidRDefault="006D5CE8" w:rsidP="006D5CE8">
      <w:pPr>
        <w:jc w:val="center"/>
      </w:pPr>
      <w:r>
        <w:rPr>
          <w:noProof/>
        </w:rPr>
        <w:drawing>
          <wp:inline distT="0" distB="0" distL="0" distR="0" wp14:anchorId="7B60CBE7" wp14:editId="4B7B4884">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24A71985" w14:textId="77777777" w:rsidR="006D5CE8" w:rsidRDefault="006D5CE8" w:rsidP="006D5CE8"/>
    <w:p w14:paraId="398ADB5C" w14:textId="77777777" w:rsidR="006D5CE8" w:rsidRDefault="006D5CE8" w:rsidP="006D5CE8">
      <w:pPr>
        <w:jc w:val="center"/>
      </w:pPr>
    </w:p>
    <w:p w14:paraId="1F0E1C4F" w14:textId="39FD50DA" w:rsidR="006D5CE8" w:rsidRDefault="002E5801" w:rsidP="006D5CE8">
      <w:pPr>
        <w:jc w:val="center"/>
      </w:pPr>
      <w:hyperlink r:id="rId8" w:history="1">
        <w:r w:rsidR="00E15A0A">
          <w:rPr>
            <w:rStyle w:val="Hyperlink"/>
          </w:rPr>
          <w:t>http://bbu.bedrockconsortium.org/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5172BF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 DPA ”) supplements the </w:t>
      </w:r>
      <w:r w:rsidR="006224A9">
        <w:rPr>
          <w:rFonts w:ascii="ø^˚â˛" w:hAnsi="ø^˚â˛" w:cs="ø^˚â˛"/>
          <w:color w:val="000000"/>
          <w:sz w:val="22"/>
          <w:szCs w:val="22"/>
        </w:rPr>
        <w:t>Bedrock</w:t>
      </w:r>
      <w:r>
        <w:rPr>
          <w:rFonts w:ascii="ø^˚â˛" w:hAnsi="ø^˚â˛" w:cs="ø^˚â˛"/>
          <w:color w:val="000000"/>
          <w:sz w:val="22"/>
          <w:szCs w:val="22"/>
        </w:rPr>
        <w:t xml:space="preserve"> Steward Agreement (“ </w:t>
      </w:r>
      <w:r w:rsidR="006224A9">
        <w:rPr>
          <w:rFonts w:ascii="ø^˚â˛" w:hAnsi="ø^˚â˛" w:cs="ø^˚â˛"/>
          <w:color w:val="000000"/>
          <w:sz w:val="22"/>
          <w:szCs w:val="22"/>
        </w:rPr>
        <w:t>BSA</w:t>
      </w:r>
      <w:r>
        <w:rPr>
          <w:rFonts w:ascii="ø^˚â˛" w:hAnsi="ø^˚â˛" w:cs="ø^˚â˛"/>
          <w:color w:val="000000"/>
          <w:sz w:val="22"/>
          <w:szCs w:val="22"/>
        </w:rPr>
        <w:t xml:space="preserve"> ”) between the </w:t>
      </w:r>
      <w:r w:rsidR="006224A9">
        <w:rPr>
          <w:rFonts w:ascii="ø^˚â˛" w:hAnsi="ø^˚â˛" w:cs="ø^˚â˛"/>
          <w:color w:val="000000"/>
          <w:sz w:val="22"/>
          <w:szCs w:val="22"/>
        </w:rPr>
        <w:t>Bedrock</w:t>
      </w:r>
      <w:r>
        <w:rPr>
          <w:rFonts w:ascii="ø^˚â˛" w:hAnsi="ø^˚â˛" w:cs="ø^˚â˛"/>
          <w:color w:val="000000"/>
          <w:sz w:val="22"/>
          <w:szCs w:val="22"/>
        </w:rPr>
        <w:t xml:space="preserve"> Consortium and Steward, as may be amended from time to time, and is hereby incorporated by reference into the </w:t>
      </w:r>
      <w:r w:rsidR="006224A9">
        <w:rPr>
          <w:rFonts w:ascii="ø^˚â˛" w:hAnsi="ø^˚â˛" w:cs="ø^˚â˛"/>
          <w:color w:val="000000"/>
          <w:sz w:val="22"/>
          <w:szCs w:val="22"/>
        </w:rPr>
        <w:t>BSA</w:t>
      </w:r>
      <w:r>
        <w:rPr>
          <w:rFonts w:ascii="ø^˚â˛" w:hAnsi="ø^˚â˛" w:cs="ø^˚â˛"/>
          <w:color w:val="000000"/>
          <w:sz w:val="22"/>
          <w:szCs w:val="22"/>
        </w:rPr>
        <w:t xml:space="preserve">. All capitalized terms not otherwise defined in this DPA will have the meaning given to them in the </w:t>
      </w:r>
      <w:r w:rsidR="006224A9">
        <w:rPr>
          <w:rFonts w:ascii="ø^˚â˛" w:hAnsi="ø^˚â˛" w:cs="ø^˚â˛"/>
          <w:color w:val="000000"/>
          <w:sz w:val="22"/>
          <w:szCs w:val="22"/>
        </w:rPr>
        <w:t>BSA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 xml:space="preserve">Framework. In the event of any inconsistency or conflict between this DPA and the </w:t>
      </w:r>
      <w:r w:rsidR="006224A9">
        <w:rPr>
          <w:rFonts w:ascii="ø^˚â˛" w:hAnsi="ø^˚â˛" w:cs="ø^˚â˛"/>
          <w:color w:val="000000"/>
          <w:sz w:val="22"/>
          <w:szCs w:val="22"/>
        </w:rPr>
        <w:t>BSA</w:t>
      </w:r>
      <w:r>
        <w:rPr>
          <w:rFonts w:ascii="ø^˚â˛" w:hAnsi="ø^˚â˛" w:cs="ø^˚â˛"/>
          <w:color w:val="000000"/>
          <w:sz w:val="22"/>
          <w:szCs w:val="22"/>
        </w:rPr>
        <w:t xml:space="preserve">, this DPA will govern. This DPA will survive termination of the </w:t>
      </w:r>
      <w:r w:rsidR="006224A9">
        <w:rPr>
          <w:rFonts w:ascii="ø^˚â˛" w:hAnsi="ø^˚â˛" w:cs="ø^˚â˛"/>
          <w:color w:val="000000"/>
          <w:sz w:val="22"/>
          <w:szCs w:val="22"/>
        </w:rPr>
        <w:t>BSA</w:t>
      </w:r>
      <w:r>
        <w:rPr>
          <w:rFonts w:ascii="ø^˚â˛" w:hAnsi="ø^˚â˛" w:cs="ø^˚â˛"/>
          <w:color w:val="000000"/>
          <w:sz w:val="22"/>
          <w:szCs w:val="22"/>
        </w:rPr>
        <w:t xml:space="preserve"> as long as Steward Processes Personal Data. The </w:t>
      </w:r>
      <w:r w:rsidR="006224A9">
        <w:rPr>
          <w:rFonts w:ascii="ø^˚â˛" w:hAnsi="ø^˚â˛" w:cs="ø^˚â˛"/>
          <w:color w:val="000000"/>
          <w:sz w:val="22"/>
          <w:szCs w:val="22"/>
        </w:rPr>
        <w:t>Bedrock</w:t>
      </w:r>
      <w:r>
        <w:rPr>
          <w:rFonts w:ascii="ø^˚â˛" w:hAnsi="ø^˚â˛" w:cs="ø^˚â˛"/>
          <w:color w:val="000000"/>
          <w:sz w:val="22"/>
          <w:szCs w:val="22"/>
        </w:rPr>
        <w:t xml:space="preserve">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1. Definitions .</w:t>
      </w:r>
    </w:p>
    <w:p w14:paraId="2ABE465E" w14:textId="77777777" w:rsidR="009C095A" w:rsidRPr="009C095A" w:rsidRDefault="009C095A" w:rsidP="009C095A"/>
    <w:p w14:paraId="45658C09" w14:textId="6F44C4E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9C095A">
        <w:rPr>
          <w:rFonts w:ascii="ø^˚â˛" w:hAnsi="ø^˚â˛" w:cs="ø^˚â˛"/>
          <w:color w:val="000000"/>
          <w:sz w:val="22"/>
          <w:szCs w:val="22"/>
        </w:rPr>
        <w:t xml:space="preserve">“ </w:t>
      </w:r>
      <w:r w:rsidRPr="009C095A">
        <w:rPr>
          <w:rFonts w:ascii="ø^˚â˛" w:hAnsi="ø^˚â˛" w:cs="ø^˚â˛"/>
          <w:b/>
          <w:bCs/>
          <w:color w:val="000000"/>
          <w:sz w:val="22"/>
          <w:szCs w:val="22"/>
        </w:rPr>
        <w:t>GDPR</w:t>
      </w:r>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5F848C84" w14:textId="7A430D69"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Impermissible Personal Data</w:t>
      </w:r>
      <w:r w:rsidRPr="002033D1">
        <w:rPr>
          <w:rFonts w:ascii="ø^˚â˛" w:hAnsi="ø^˚â˛" w:cs="ø^˚â˛"/>
          <w:color w:val="000000"/>
          <w:sz w:val="22"/>
          <w:szCs w:val="22"/>
        </w:rPr>
        <w:t xml:space="preserve"> ” means the Personal Data that a 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DE74DB1" w14:textId="77777777" w:rsidR="002033D1" w:rsidRPr="002033D1" w:rsidRDefault="002033D1" w:rsidP="002033D1">
      <w:pPr>
        <w:pStyle w:val="ListParagraph"/>
        <w:rPr>
          <w:rFonts w:ascii="ø^˚â˛" w:hAnsi="ø^˚â˛" w:cs="ø^˚â˛"/>
          <w:color w:val="000000"/>
          <w:sz w:val="22"/>
          <w:szCs w:val="22"/>
        </w:rPr>
      </w:pP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66FEF3B3"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Permissible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Node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Security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6003F7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6224A9">
        <w:rPr>
          <w:rFonts w:ascii="ø^˚â˛" w:hAnsi="ø^˚â˛" w:cs="ø^˚â˛"/>
          <w:color w:val="000000"/>
          <w:sz w:val="22"/>
          <w:szCs w:val="22"/>
        </w:rPr>
        <w:t>Bedrock</w:t>
      </w:r>
      <w:r w:rsidR="002033D1" w:rsidRPr="002033D1">
        <w:rPr>
          <w:rFonts w:ascii="ø^˚â˛" w:hAnsi="ø^˚â˛" w:cs="ø^˚â˛"/>
          <w:color w:val="000000"/>
          <w:sz w:val="22"/>
          <w:szCs w:val="22"/>
        </w:rPr>
        <w:t xml:space="preserve">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Subprocessor</w:t>
      </w:r>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2. Purpose of Processing Personal Data .</w:t>
      </w:r>
    </w:p>
    <w:p w14:paraId="7E1D46A8" w14:textId="3CB32599"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w:t>
      </w:r>
      <w:r w:rsidR="006224A9">
        <w:rPr>
          <w:rFonts w:ascii="ø^˚â˛" w:hAnsi="ø^˚â˛" w:cs="ø^˚â˛"/>
          <w:color w:val="000000"/>
          <w:sz w:val="22"/>
          <w:szCs w:val="22"/>
        </w:rPr>
        <w:t>BSA</w:t>
      </w:r>
      <w:r>
        <w:rPr>
          <w:rFonts w:ascii="ø^˚â˛" w:hAnsi="ø^˚â˛" w:cs="ø^˚â˛"/>
          <w:color w:val="000000"/>
          <w:sz w:val="22"/>
          <w:szCs w:val="22"/>
        </w:rPr>
        <w:t xml:space="preserve"> (the “ Services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 xml:space="preserve">Process in connection with the </w:t>
      </w:r>
      <w:r w:rsidR="006224A9">
        <w:rPr>
          <w:rFonts w:ascii="ø^˚â˛" w:hAnsi="ø^˚â˛" w:cs="ø^˚â˛"/>
          <w:color w:val="000000"/>
          <w:sz w:val="22"/>
          <w:szCs w:val="22"/>
        </w:rPr>
        <w:t>BSA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3. Processor and Controller Responsibilities .</w:t>
      </w:r>
    </w:p>
    <w:p w14:paraId="59D0A64B" w14:textId="77777777" w:rsidR="002033D1" w:rsidRPr="002033D1" w:rsidRDefault="002033D1" w:rsidP="002033D1"/>
    <w:p w14:paraId="2575E066" w14:textId="4D38F7F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and Steward agree that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under the GDPR and (b)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3076CB5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Transaction Authors and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 xml:space="preserve">by referring Stewards to information available on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288B3403"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sidRPr="002033D1">
        <w:rPr>
          <w:rFonts w:ascii="ø^˚â˛" w:hAnsi="ø^˚â˛" w:cs="ø^˚â˛"/>
          <w:color w:val="000000"/>
          <w:sz w:val="22"/>
          <w:szCs w:val="22"/>
        </w:rPr>
        <w:t>.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express compliance with the Transaction Author Agreement </w:t>
      </w:r>
      <w:r w:rsidRPr="002033D1">
        <w:rPr>
          <w:rFonts w:ascii="ø^˚â˛" w:hAnsi="ø^˚â˛" w:cs="ø^˚â˛"/>
          <w:color w:val="000000"/>
          <w:sz w:val="22"/>
          <w:szCs w:val="22"/>
        </w:rPr>
        <w:lastRenderedPageBreak/>
        <w:t>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the </w:t>
      </w:r>
      <w:r w:rsidR="006224A9">
        <w:rPr>
          <w:rFonts w:ascii="ø^˚â˛" w:hAnsi="ø^˚â˛" w:cs="ø^˚â˛"/>
          <w:color w:val="000000"/>
          <w:sz w:val="22"/>
          <w:szCs w:val="22"/>
        </w:rPr>
        <w:t>Bedrock</w:t>
      </w:r>
      <w:r w:rsidRPr="002033D1">
        <w:rPr>
          <w:rFonts w:ascii="ø^˚â˛" w:hAnsi="ø^˚â˛" w:cs="ø^˚â˛"/>
          <w:color w:val="000000"/>
          <w:sz w:val="22"/>
          <w:szCs w:val="22"/>
        </w:rPr>
        <w:t xml:space="preserve"> </w:t>
      </w:r>
      <w:r w:rsidR="002033D1" w:rsidRPr="002033D1">
        <w:rPr>
          <w:rFonts w:ascii="ø^˚â˛" w:hAnsi="ø^˚â˛" w:cs="ø^˚â˛"/>
          <w:color w:val="000000"/>
          <w:sz w:val="22"/>
          <w:szCs w:val="22"/>
        </w:rPr>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4. Steward Responsibilities . Steward will:</w:t>
      </w:r>
    </w:p>
    <w:p w14:paraId="68D1EC9E" w14:textId="77777777" w:rsidR="00B67885" w:rsidRPr="00B67885" w:rsidRDefault="00B67885" w:rsidP="00B67885"/>
    <w:p w14:paraId="40CD29C3" w14:textId="4B23E9F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 Additional Instruction ”) from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to the </w:t>
      </w:r>
      <w:r w:rsidR="006224A9">
        <w:rPr>
          <w:rFonts w:ascii="ø^˚â˛" w:hAnsi="ø^˚â˛" w:cs="ø^˚â˛"/>
          <w:color w:val="000000"/>
          <w:sz w:val="22"/>
          <w:szCs w:val="22"/>
        </w:rPr>
        <w:t>BSA</w:t>
      </w:r>
      <w:r w:rsidRPr="00B67885">
        <w:rPr>
          <w:rFonts w:ascii="ø^˚â˛" w:hAnsi="ø^˚â˛" w:cs="ø^˚â˛"/>
          <w:color w:val="000000"/>
          <w:sz w:val="22"/>
          <w:szCs w:val="22"/>
        </w:rPr>
        <w:t xml:space="preserve">. Steward will inform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47CB6D47"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17AF52D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xml:space="preserve">, 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6224A9">
        <w:rPr>
          <w:rFonts w:ascii="ø^˚â˛" w:hAnsi="ø^˚â˛" w:cs="ø^˚â˛"/>
          <w:color w:val="000000"/>
          <w:sz w:val="22"/>
          <w:szCs w:val="22"/>
        </w:rPr>
        <w:t>Bedrock</w:t>
      </w:r>
      <w:r w:rsidR="002033D1" w:rsidRPr="00B67885">
        <w:rPr>
          <w:rFonts w:ascii="ø^˚â˛" w:hAnsi="ø^˚â˛" w:cs="ø^˚â˛"/>
          <w:color w:val="000000"/>
          <w:sz w:val="22"/>
          <w:szCs w:val="22"/>
        </w:rPr>
        <w:t xml:space="preserve"> Business Utility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92D1C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xml:space="preserve">, cooperate and assist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Subprocessors.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1B2B015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generally authorizes the use of Subprocessors to Process</w:t>
      </w:r>
      <w:r w:rsidR="005E4B93">
        <w:rPr>
          <w:rFonts w:ascii="ø^˚â˛" w:hAnsi="ø^˚â˛" w:cs="ø^˚â˛"/>
          <w:color w:val="000000"/>
          <w:sz w:val="22"/>
          <w:szCs w:val="22"/>
        </w:rPr>
        <w:t xml:space="preserve"> </w:t>
      </w:r>
      <w:r>
        <w:rPr>
          <w:rFonts w:ascii="ø^˚â˛" w:hAnsi="ø^˚â˛" w:cs="ø^˚â˛"/>
          <w:color w:val="000000"/>
          <w:sz w:val="22"/>
          <w:szCs w:val="22"/>
        </w:rPr>
        <w:t xml:space="preserve">Node Data in connection with fulfilling Steward’s obligations under the </w:t>
      </w:r>
      <w:r w:rsidR="006224A9">
        <w:rPr>
          <w:rFonts w:ascii="ø^˚â˛" w:hAnsi="ø^˚â˛" w:cs="ø^˚â˛"/>
          <w:color w:val="000000"/>
          <w:sz w:val="22"/>
          <w:szCs w:val="22"/>
        </w:rPr>
        <w:t>BSA</w:t>
      </w:r>
      <w:r>
        <w:rPr>
          <w:rFonts w:ascii="ø^˚â˛" w:hAnsi="ø^˚â˛" w:cs="ø^˚â˛"/>
          <w:color w:val="000000"/>
          <w:sz w:val="22"/>
          <w:szCs w:val="22"/>
        </w:rPr>
        <w:t xml:space="preserve">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Subprocessors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responsible for the acts and omissions of its Subprocessors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obligations on its Subprocessors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6224A9">
        <w:rPr>
          <w:rFonts w:ascii="ø^˚â˛" w:hAnsi="ø^˚â˛" w:cs="ø^˚â˛"/>
          <w:color w:val="000000"/>
          <w:sz w:val="22"/>
          <w:szCs w:val="22"/>
        </w:rPr>
        <w:t>Bedrock</w:t>
      </w:r>
      <w:r w:rsidR="002033D1">
        <w:rPr>
          <w:rFonts w:ascii="ø^˚â˛" w:hAnsi="ø^˚â˛" w:cs="ø^˚â˛"/>
          <w:color w:val="000000"/>
          <w:sz w:val="22"/>
          <w:szCs w:val="22"/>
        </w:rPr>
        <w:t xml:space="preserve">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 xml:space="preserve">request,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subprocessing </w:t>
      </w:r>
      <w:r>
        <w:rPr>
          <w:rFonts w:ascii="ø^˚â˛" w:hAnsi="ø^˚â˛" w:cs="ø^˚â˛"/>
          <w:color w:val="000000"/>
          <w:sz w:val="22"/>
          <w:szCs w:val="22"/>
        </w:rPr>
        <w:lastRenderedPageBreak/>
        <w:t>contract between Steward and its</w:t>
      </w:r>
      <w:r w:rsidR="005E4B93">
        <w:rPr>
          <w:rFonts w:ascii="ø^˚â˛" w:hAnsi="ø^˚â˛" w:cs="ø^˚â˛"/>
          <w:color w:val="000000"/>
          <w:sz w:val="22"/>
          <w:szCs w:val="22"/>
        </w:rPr>
        <w:t xml:space="preserve"> </w:t>
      </w:r>
      <w:r>
        <w:rPr>
          <w:rFonts w:ascii="ø^˚â˛" w:hAnsi="ø^˚â˛" w:cs="ø^˚â˛"/>
          <w:color w:val="000000"/>
          <w:sz w:val="22"/>
          <w:szCs w:val="22"/>
        </w:rPr>
        <w:t xml:space="preserve">Subprocessors, and Steward will reasonably comply with such request. Steward will notify the </w:t>
      </w:r>
      <w:r w:rsidR="006224A9">
        <w:rPr>
          <w:rFonts w:ascii="ø^˚â˛" w:hAnsi="ø^˚â˛" w:cs="ø^˚â˛"/>
          <w:color w:val="000000"/>
          <w:sz w:val="22"/>
          <w:szCs w:val="22"/>
        </w:rPr>
        <w:t>Bedrock</w:t>
      </w:r>
      <w:r w:rsidR="005E4B93">
        <w:rPr>
          <w:rFonts w:ascii="ø^˚â˛" w:hAnsi="ø^˚â˛" w:cs="ø^˚â˛"/>
          <w:color w:val="000000"/>
          <w:sz w:val="22"/>
          <w:szCs w:val="22"/>
        </w:rPr>
        <w:t xml:space="preserve"> Consortium </w:t>
      </w:r>
      <w:r>
        <w:rPr>
          <w:rFonts w:ascii="ø^˚â˛" w:hAnsi="ø^˚â˛" w:cs="ø^˚â˛"/>
          <w:color w:val="000000"/>
          <w:sz w:val="22"/>
          <w:szCs w:val="22"/>
        </w:rPr>
        <w:t>in writing (email acceptable) of any proposed changes to its Subprocessors and give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 xml:space="preserve">notifies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of the intended change,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Subprocessor on the basis that such addition would cause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does not object within such period, the respective Subprocessor will be permitted to Process Node</w:t>
      </w:r>
      <w:r w:rsidR="005E4B93">
        <w:rPr>
          <w:rFonts w:ascii="ø^˚â˛" w:hAnsi="ø^˚â˛" w:cs="ø^˚â˛"/>
          <w:color w:val="000000"/>
          <w:sz w:val="22"/>
          <w:szCs w:val="22"/>
        </w:rPr>
        <w:t xml:space="preserve"> </w:t>
      </w:r>
      <w:r>
        <w:rPr>
          <w:rFonts w:ascii="ø^˚â˛" w:hAnsi="ø^˚â˛" w:cs="ø^˚â˛"/>
          <w:color w:val="000000"/>
          <w:sz w:val="22"/>
          <w:szCs w:val="22"/>
        </w:rPr>
        <w:t xml:space="preserve">Data. If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objects to the addition of a Subprocessor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 xml:space="preserve">Steward’s notice, then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sidR="006224A9">
        <w:rPr>
          <w:rFonts w:ascii="ø^˚â˛" w:hAnsi="ø^˚â˛" w:cs="ø^˚â˛"/>
          <w:color w:val="000000"/>
          <w:sz w:val="22"/>
          <w:szCs w:val="22"/>
        </w:rPr>
        <w:t>BSA</w:t>
      </w:r>
      <w:r>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4F118AF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defined in the Standard Contractual Clauses). If a Subprocessor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Contractual Clauses on behalf of such Subprocessor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will enter into a written agreement imposing obligations on such Subprocessor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7. Security Safeguards</w:t>
      </w:r>
      <w:r>
        <w:rPr>
          <w:rFonts w:ascii="ø^˚â˛" w:hAnsi="ø^˚â˛" w:cs="ø^˚â˛"/>
          <w:color w:val="000000"/>
          <w:sz w:val="22"/>
          <w:szCs w:val="22"/>
        </w:rPr>
        <w:t xml:space="preserve"> .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1D3CB82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r>
        <w:rPr>
          <w:rFonts w:ascii="ø^˚â˛" w:hAnsi="ø^˚â˛" w:cs="ø^˚â˛"/>
          <w:color w:val="000000"/>
          <w:sz w:val="22"/>
          <w:szCs w:val="22"/>
        </w:rPr>
        <w:t xml:space="preserve">“ </w:t>
      </w:r>
      <w:r w:rsidRPr="005E4B93">
        <w:rPr>
          <w:rFonts w:ascii="ø^˚â˛" w:hAnsi="ø^˚â˛" w:cs="ø^˚â˛"/>
          <w:b/>
          <w:bCs/>
          <w:color w:val="000000"/>
          <w:sz w:val="22"/>
          <w:szCs w:val="22"/>
        </w:rPr>
        <w:t>Steward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r>
        <w:rPr>
          <w:rFonts w:ascii="ø^˚â˛" w:hAnsi="ø^˚â˛" w:cs="ø^˚â˛"/>
          <w:color w:val="000000"/>
          <w:sz w:val="22"/>
          <w:szCs w:val="22"/>
        </w:rPr>
        <w:t xml:space="preserve">“ </w:t>
      </w:r>
      <w:r w:rsidRPr="005E4B93">
        <w:rPr>
          <w:rFonts w:ascii="ø^˚â˛" w:hAnsi="ø^˚â˛" w:cs="ø^˚â˛"/>
          <w:b/>
          <w:bCs/>
          <w:color w:val="000000"/>
          <w:sz w:val="22"/>
          <w:szCs w:val="22"/>
        </w:rPr>
        <w:t>Steward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8. Audits .</w:t>
      </w:r>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25D14F3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Upon reasonable notice to Steward,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obligations of confidentiality (“ Auditor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2560BB08"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482298B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0930F30E" w:rsidR="009C095A" w:rsidRDefault="006224A9" w:rsidP="009C095A">
      <w:pPr>
        <w:autoSpaceDE w:val="0"/>
        <w:autoSpaceDN w:val="0"/>
        <w:adjustRightInd w:val="0"/>
        <w:rPr>
          <w:rFonts w:ascii="ø^˚â˛" w:hAnsi="ø^˚â˛" w:cs="ø^˚â˛"/>
          <w:color w:val="000000"/>
          <w:sz w:val="22"/>
          <w:szCs w:val="22"/>
        </w:rPr>
      </w:pPr>
      <w:r>
        <w:rPr>
          <w:rFonts w:ascii="ø^˚â˛" w:hAnsi="ø^˚â˛" w:cs="ø^˚â˛"/>
          <w:color w:val="000000"/>
          <w:sz w:val="22"/>
          <w:szCs w:val="22"/>
        </w:rPr>
        <w:t>Bedrock</w:t>
      </w:r>
      <w:r w:rsidR="002033D1">
        <w:rPr>
          <w:rFonts w:ascii="ø^˚â˛" w:hAnsi="ø^˚â˛" w:cs="ø^˚â˛"/>
          <w:color w:val="000000"/>
          <w:sz w:val="22"/>
          <w:szCs w:val="22"/>
        </w:rPr>
        <w:t xml:space="preserve"> Business Utility</w:t>
      </w:r>
      <w:r w:rsidR="009C095A">
        <w:rPr>
          <w:rFonts w:ascii="ø^˚â˛" w:hAnsi="ø^˚â˛" w:cs="ø^˚â˛"/>
          <w:color w:val="000000"/>
          <w:sz w:val="22"/>
          <w:szCs w:val="22"/>
        </w:rPr>
        <w:t xml:space="preserve">. </w:t>
      </w:r>
      <w:r>
        <w:rPr>
          <w:rFonts w:ascii="ø^˚â˛" w:hAnsi="ø^˚â˛" w:cs="ø^˚â˛"/>
          <w:color w:val="000000"/>
          <w:sz w:val="22"/>
          <w:szCs w:val="22"/>
        </w:rPr>
        <w:t>Bedrock</w:t>
      </w:r>
      <w:r w:rsidR="009C095A">
        <w:rPr>
          <w:rFonts w:ascii="ø^˚â˛" w:hAnsi="ø^˚â˛" w:cs="ø^˚â˛"/>
          <w:color w:val="000000"/>
          <w:sz w:val="22"/>
          <w:szCs w:val="22"/>
        </w:rPr>
        <w:t xml:space="preserve">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Pr>
          <w:rFonts w:ascii="ø^˚â˛" w:hAnsi="ø^˚â˛" w:cs="ø^˚â˛"/>
          <w:color w:val="000000"/>
          <w:sz w:val="22"/>
          <w:szCs w:val="22"/>
        </w:rPr>
        <w:t>Bedrock</w:t>
      </w:r>
      <w:r w:rsidR="00B67885">
        <w:rPr>
          <w:rFonts w:ascii="ø^˚â˛" w:hAnsi="ø^˚â˛" w:cs="ø^˚â˛"/>
          <w:color w:val="000000"/>
          <w:sz w:val="22"/>
          <w:szCs w:val="22"/>
        </w:rPr>
        <w:t xml:space="preserve">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Breach .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C25EA9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with reasonable assistance to satisfy any legal obligations of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Data .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4E7F331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termination or expiration of the </w:t>
      </w:r>
      <w:r w:rsidR="006224A9">
        <w:rPr>
          <w:rFonts w:ascii="ø^˚â˛" w:hAnsi="ø^˚â˛" w:cs="ø^˚â˛"/>
          <w:color w:val="000000"/>
          <w:sz w:val="22"/>
          <w:szCs w:val="22"/>
        </w:rPr>
        <w:t>BSA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6224A9">
        <w:rPr>
          <w:rFonts w:ascii="ø^˚â˛" w:hAnsi="ø^˚â˛" w:cs="ø^˚â˛"/>
          <w:color w:val="000000"/>
          <w:sz w:val="22"/>
          <w:szCs w:val="22"/>
        </w:rPr>
        <w:t>Bedrock</w:t>
      </w:r>
      <w:r w:rsidR="006A7651">
        <w:rPr>
          <w:rFonts w:ascii="ø^˚â˛" w:hAnsi="ø^˚â˛" w:cs="ø^˚â˛"/>
          <w:color w:val="000000"/>
          <w:sz w:val="22"/>
          <w:szCs w:val="22"/>
        </w:rPr>
        <w:t xml:space="preserve"> Business Utility </w:t>
      </w:r>
      <w:r>
        <w:rPr>
          <w:rFonts w:ascii="ø^˚â˛" w:hAnsi="ø^˚â˛" w:cs="ø^˚â˛"/>
          <w:color w:val="000000"/>
          <w:sz w:val="22"/>
          <w:szCs w:val="22"/>
        </w:rPr>
        <w:t xml:space="preserve">, Steward will return to the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Records .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2762935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51B5ACD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Liability .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491FD6E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Notwithstanding anything to the contrary in the </w:t>
      </w:r>
      <w:r w:rsidR="006224A9">
        <w:rPr>
          <w:rFonts w:ascii="ø^˚â˛" w:hAnsi="ø^˚â˛" w:cs="ø^˚â˛"/>
          <w:color w:val="000000"/>
          <w:sz w:val="22"/>
          <w:szCs w:val="22"/>
        </w:rPr>
        <w:t>BSA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EXEMPLARY, PUNITIVE, </w:t>
      </w:r>
      <w:r w:rsidRPr="006A7651">
        <w:rPr>
          <w:rFonts w:ascii="ø^˚â˛" w:hAnsi="ø^˚â˛" w:cs="ø^˚â˛"/>
          <w:color w:val="000000"/>
          <w:sz w:val="22"/>
          <w:szCs w:val="22"/>
        </w:rPr>
        <w:lastRenderedPageBreak/>
        <w:t>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40B582B"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of liability set forth in this Section 12 through the Transaction Author Agreement. Therefore</w:t>
      </w:r>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2D6C1A6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 xml:space="preserve">referred to in this DPA. Steward and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621DC513" w:rsidR="006A7651" w:rsidRPr="006B206D" w:rsidRDefault="006224A9" w:rsidP="006A7651">
      <w:pPr>
        <w:rPr>
          <w:b/>
          <w:bCs/>
        </w:rPr>
      </w:pPr>
      <w:r>
        <w:rPr>
          <w:b/>
          <w:bCs/>
        </w:rPr>
        <w:t>Bedrock</w:t>
      </w:r>
      <w:r w:rsidR="006A7651" w:rsidRPr="006B206D">
        <w:rPr>
          <w:b/>
          <w:bCs/>
        </w:rPr>
        <w:t xml:space="preserve">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0F0E866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maintenance and hosting of a Node under the </w:t>
      </w:r>
      <w:r w:rsidR="006224A9">
        <w:rPr>
          <w:rFonts w:ascii="ø^˚â˛" w:hAnsi="ø^˚â˛" w:cs="ø^˚â˛"/>
          <w:color w:val="000000"/>
          <w:sz w:val="22"/>
          <w:szCs w:val="22"/>
        </w:rPr>
        <w:t>BSA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33A6438E"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xml:space="preserve">: The Processing will begin on the effective date of the </w:t>
      </w:r>
      <w:r w:rsidR="006224A9">
        <w:rPr>
          <w:rFonts w:ascii="ø^˚â˛" w:hAnsi="ø^˚â˛" w:cs="ø^˚â˛"/>
          <w:color w:val="000000"/>
          <w:sz w:val="22"/>
          <w:szCs w:val="22"/>
        </w:rPr>
        <w:t>BSA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 xml:space="preserve">continue through the period from expiration of the </w:t>
      </w:r>
      <w:r w:rsidR="006224A9">
        <w:rPr>
          <w:rFonts w:ascii="ø^˚â˛" w:hAnsi="ø^˚â˛" w:cs="ø^˚â˛"/>
          <w:color w:val="000000"/>
          <w:sz w:val="22"/>
          <w:szCs w:val="22"/>
        </w:rPr>
        <w:t>BSA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506DCAA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69A13A5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14B18DD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If Impermissible Personal Data is written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46ED96F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of the data exporting organisation:</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117112A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sidR="00B67885">
        <w:rPr>
          <w:rFonts w:ascii="ø^˚â˛" w:hAnsi="ø^˚â˛" w:cs="ø^˚â˛"/>
          <w:color w:val="000000"/>
          <w:sz w:val="22"/>
          <w:szCs w:val="22"/>
        </w:rPr>
        <w:t xml:space="preserve">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exporter )</w:t>
      </w:r>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7E422BE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Steward named in the </w:t>
      </w:r>
      <w:r w:rsidR="006224A9">
        <w:rPr>
          <w:rFonts w:ascii="ø^˚â˛" w:hAnsi="ø^˚â˛" w:cs="ø^˚â˛"/>
          <w:color w:val="000000"/>
          <w:sz w:val="22"/>
          <w:szCs w:val="22"/>
        </w:rPr>
        <w:t>BSA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importer )</w:t>
      </w:r>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subprocessor' means any processor engaged by the data importer or by any other</w:t>
      </w:r>
      <w:r w:rsidR="00B91F68" w:rsidRPr="00B91F68">
        <w:rPr>
          <w:rFonts w:ascii="ø^˚â˛" w:hAnsi="ø^˚â˛" w:cs="ø^˚â˛"/>
          <w:color w:val="000000"/>
          <w:sz w:val="22"/>
          <w:szCs w:val="22"/>
        </w:rPr>
        <w:t xml:space="preserve"> </w:t>
      </w:r>
      <w:r w:rsidRPr="00B91F68">
        <w:rPr>
          <w:rFonts w:ascii="ø^˚â˛" w:hAnsi="ø^˚â˛" w:cs="ø^˚â˛"/>
          <w:color w:val="000000"/>
          <w:sz w:val="22"/>
          <w:szCs w:val="22"/>
        </w:rPr>
        <w:t>subprocessor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other subprocessor</w:t>
      </w:r>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'technical and organisational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r w:rsidRPr="00B91F68">
        <w:rPr>
          <w:rFonts w:ascii="ø^˚â˛" w:hAnsi="ø^˚â˛" w:cs="ø^˚â˛"/>
          <w:color w:val="000000"/>
          <w:sz w:val="22"/>
          <w:szCs w:val="22"/>
        </w:rPr>
        <w:t>unauthorised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(i),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subprocessor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entity. Such third-party liability of the subprocessor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r w:rsidRPr="00604A42">
        <w:rPr>
          <w:rFonts w:ascii="ø^˚â˛" w:hAnsi="ø^˚â˛" w:cs="ø^˚â˛"/>
          <w:color w:val="000000"/>
          <w:sz w:val="22"/>
          <w:szCs w:val="22"/>
        </w:rPr>
        <w:t>organisational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or accidental loss, alteration, unauthorised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to forward any notification received from the data importer or any subprocessor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contract for subprocessing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in the event of subprocessing,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Clause 11 by a subprocessor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(i).</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implemented the technical and organisational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any accidental or unauthorised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unless it has been otherwise authorised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contract for subprocessing,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in the event of subprocessing,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the processing services by the subprocessor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send promptly a copy of any subprocessor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the obligations referred to in Clause 3 or in Clause 11 by any party or subprocessor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against the data exporter, arising out of a breach by the data importer or his subprocessor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rights against such entity. The data importer may not rely on a breach by a subprocessor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referred to in paragraphs 1 and 2, arising out of a breach by the subprocessor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r w:rsidRPr="00980A7D">
        <w:rPr>
          <w:rFonts w:ascii="ø^˚â˛" w:hAnsi="ø^˚â˛" w:cs="ø^˚â˛"/>
          <w:color w:val="000000"/>
          <w:sz w:val="22"/>
          <w:szCs w:val="22"/>
        </w:rPr>
        <w:t>subprocessor agrees that the data subject may issue a claim against the data subprocessor</w:t>
      </w:r>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subject can enforce its rights against such entity. The liability of the subprocessor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data importer agrees that if the data subject invokes against it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importer, and of any subprocessor,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applicable to it or any subprocessor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any subprocessor,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the data exporter, it shall do so only by way of a written agreement with the subprocessor</w:t>
      </w:r>
      <w:r w:rsidR="00870043" w:rsidRPr="00870043">
        <w:rPr>
          <w:rFonts w:ascii="ø^˚â˛" w:hAnsi="ø^˚â˛" w:cs="ø^˚â˛"/>
          <w:color w:val="000000"/>
          <w:sz w:val="22"/>
          <w:szCs w:val="22"/>
        </w:rPr>
        <w:t xml:space="preserve"> </w:t>
      </w:r>
      <w:r w:rsidRPr="00870043">
        <w:rPr>
          <w:rFonts w:ascii="ø^˚â˛" w:hAnsi="ø^˚â˛" w:cs="ø^˚â˛"/>
          <w:color w:val="000000"/>
          <w:sz w:val="22"/>
          <w:szCs w:val="22"/>
        </w:rPr>
        <w:t>which imposes the same obligations on the subprocessor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for the performance of the subprocessor's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prior written contract between the data importer and the subprocessor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exist in law or have become insolvent and no successor entityhas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third-party liability of the subprocessor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provisions relating to data protection aspects for subprocessing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shall keep a list of subprocessing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on the termination of the provision of data processing services, the dataimporter and the subprocessor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and the subprocessor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5876C32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6224A9">
        <w:rPr>
          <w:rFonts w:ascii="ø^˚â˛" w:hAnsi="ø^˚â˛" w:cs="ø^˚â˛"/>
          <w:color w:val="000000"/>
          <w:sz w:val="22"/>
          <w:szCs w:val="22"/>
        </w:rPr>
        <w:t>Bedrock</w:t>
      </w:r>
      <w:r>
        <w:rPr>
          <w:rFonts w:ascii="ø^˚â˛" w:hAnsi="ø^˚â˛" w:cs="ø^˚â˛"/>
          <w:color w:val="000000"/>
          <w:sz w:val="22"/>
          <w:szCs w:val="22"/>
        </w:rPr>
        <w:t xml:space="preserve"> Consortium</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Description of the technical and organisational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715697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This work is licensed under the Creative Commons Attribution-</w:t>
      </w:r>
    </w:p>
    <w:p w14:paraId="6317ED8F" w14:textId="302FDE1D" w:rsidR="000D5EB0" w:rsidRDefault="009C095A" w:rsidP="000B1A62">
      <w:pPr>
        <w:autoSpaceDE w:val="0"/>
        <w:autoSpaceDN w:val="0"/>
        <w:adjustRightInd w:val="0"/>
      </w:pPr>
      <w:r>
        <w:rPr>
          <w:rFonts w:ascii="ø^˚â˛" w:hAnsi="ø^˚â˛" w:cs="ø^˚â˛"/>
          <w:color w:val="000000"/>
          <w:sz w:val="22"/>
          <w:szCs w:val="22"/>
        </w:rPr>
        <w:t xml:space="preserve">ShareAlike 4.0 International License ( </w:t>
      </w:r>
      <w:r>
        <w:rPr>
          <w:rFonts w:ascii="ø^˚â˛" w:hAnsi="ø^˚â˛" w:cs="ø^˚â˛"/>
          <w:color w:val="1155CD"/>
          <w:sz w:val="22"/>
          <w:szCs w:val="22"/>
        </w:rPr>
        <w:t xml:space="preserve">http://creativecommons.org/licenses/by-sa/4.0/ </w:t>
      </w:r>
      <w:r>
        <w:rPr>
          <w:rFonts w:ascii="ø^˚â˛" w:hAnsi="ø^˚â˛" w:cs="ø^˚â˛"/>
          <w:color w:val="000000"/>
          <w:sz w:val="22"/>
          <w:szCs w:val="22"/>
        </w:rPr>
        <w:t>).</w:t>
      </w:r>
    </w:p>
    <w:sectPr w:rsidR="000D5EB0" w:rsidSect="00612D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2B7ED" w14:textId="77777777" w:rsidR="002E5801" w:rsidRDefault="002E5801" w:rsidP="006A7651">
      <w:r>
        <w:separator/>
      </w:r>
    </w:p>
  </w:endnote>
  <w:endnote w:type="continuationSeparator" w:id="0">
    <w:p w14:paraId="2D184A1E" w14:textId="77777777" w:rsidR="002E5801" w:rsidRDefault="002E5801"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79FDA" w14:textId="77777777" w:rsidR="002E5801" w:rsidRDefault="002E5801" w:rsidP="006A7651">
      <w:r>
        <w:separator/>
      </w:r>
    </w:p>
  </w:footnote>
  <w:footnote w:type="continuationSeparator" w:id="0">
    <w:p w14:paraId="3EEDB566" w14:textId="77777777" w:rsidR="002E5801" w:rsidRDefault="002E5801"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A0C62"/>
    <w:rsid w:val="002E5801"/>
    <w:rsid w:val="004D35BE"/>
    <w:rsid w:val="005E4B93"/>
    <w:rsid w:val="00604A42"/>
    <w:rsid w:val="00612D67"/>
    <w:rsid w:val="006224A9"/>
    <w:rsid w:val="00643BB7"/>
    <w:rsid w:val="006A14EF"/>
    <w:rsid w:val="006A7651"/>
    <w:rsid w:val="006D5CE8"/>
    <w:rsid w:val="0074722D"/>
    <w:rsid w:val="00777A24"/>
    <w:rsid w:val="00870043"/>
    <w:rsid w:val="00980A7D"/>
    <w:rsid w:val="009C095A"/>
    <w:rsid w:val="00B67885"/>
    <w:rsid w:val="00B91F68"/>
    <w:rsid w:val="00DA5819"/>
    <w:rsid w:val="00E15A0A"/>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6005</Words>
  <Characters>34232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12</cp:revision>
  <dcterms:created xsi:type="dcterms:W3CDTF">2020-01-28T00:12:00Z</dcterms:created>
  <dcterms:modified xsi:type="dcterms:W3CDTF">2020-04-28T13:37:00Z</dcterms:modified>
</cp:coreProperties>
</file>