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3BA84FFA" w:rsidR="003516B1" w:rsidRDefault="003516B1" w:rsidP="003516B1">
      <w:pPr>
        <w:spacing w:before="84"/>
        <w:jc w:val="center"/>
        <w:rPr>
          <w:rFonts w:ascii="Arial" w:eastAsia="Times New Roman" w:hAnsi="Arial" w:cs="Arial"/>
          <w:color w:val="000000"/>
          <w:sz w:val="52"/>
          <w:szCs w:val="52"/>
        </w:rPr>
      </w:pPr>
      <w:r w:rsidRPr="003516B1">
        <w:rPr>
          <w:rFonts w:ascii="Arial" w:eastAsia="Times New Roman" w:hAnsi="Arial" w:cs="Arial"/>
          <w:color w:val="000000"/>
          <w:sz w:val="52"/>
          <w:szCs w:val="52"/>
        </w:rPr>
        <w:t>Transaction Author Agreement V2</w:t>
      </w:r>
    </w:p>
    <w:p w14:paraId="6C7601D5" w14:textId="77777777" w:rsidR="00D755FD" w:rsidRPr="00F751D1" w:rsidRDefault="00D755FD" w:rsidP="00D755FD">
      <w:pPr>
        <w:jc w:val="center"/>
        <w:rPr>
          <w:rStyle w:val="Strong"/>
        </w:rPr>
      </w:pPr>
      <w:r w:rsidRPr="00F751D1">
        <w:rPr>
          <w:rStyle w:val="Strong"/>
        </w:rPr>
        <w:t>Version 1</w:t>
      </w:r>
    </w:p>
    <w:p w14:paraId="0631381A" w14:textId="77777777" w:rsidR="00D755FD" w:rsidRDefault="00D755FD" w:rsidP="00D755FD">
      <w:pPr>
        <w:jc w:val="center"/>
      </w:pPr>
      <w:r>
        <w:t>2020-03-01</w:t>
      </w:r>
    </w:p>
    <w:p w14:paraId="2941EA54" w14:textId="77777777" w:rsidR="00D755FD" w:rsidRDefault="00D755FD" w:rsidP="00D755FD">
      <w:pPr>
        <w:jc w:val="center"/>
      </w:pPr>
    </w:p>
    <w:p w14:paraId="60C76AC9" w14:textId="77777777" w:rsidR="00D755FD" w:rsidRDefault="00D755FD" w:rsidP="00D755FD">
      <w:pPr>
        <w:jc w:val="center"/>
      </w:pPr>
    </w:p>
    <w:p w14:paraId="5D588BCA" w14:textId="77777777" w:rsidR="00D755FD" w:rsidRDefault="00D755FD" w:rsidP="00D755FD">
      <w:pPr>
        <w:jc w:val="center"/>
      </w:pPr>
    </w:p>
    <w:p w14:paraId="28F7BE5E" w14:textId="77777777" w:rsidR="00D755FD" w:rsidRDefault="00D755FD" w:rsidP="00D755FD">
      <w:pPr>
        <w:jc w:val="center"/>
      </w:pPr>
    </w:p>
    <w:p w14:paraId="434EEAE6" w14:textId="77777777" w:rsidR="00D755FD" w:rsidRDefault="00D755FD" w:rsidP="00D755FD">
      <w:pPr>
        <w:jc w:val="center"/>
      </w:pPr>
    </w:p>
    <w:p w14:paraId="74F5F442" w14:textId="77777777" w:rsidR="005A1054" w:rsidRDefault="005A1054" w:rsidP="005A1054">
      <w:pPr>
        <w:jc w:val="center"/>
      </w:pPr>
      <w:r>
        <w:rPr>
          <w:noProof/>
        </w:rPr>
        <w:drawing>
          <wp:inline distT="0" distB="0" distL="0" distR="0" wp14:anchorId="735988DB" wp14:editId="4CE4351D">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1AA87467" w14:textId="77777777" w:rsidR="005A1054" w:rsidRDefault="005A1054" w:rsidP="005A1054"/>
    <w:p w14:paraId="4B864099" w14:textId="77777777" w:rsidR="005A1054" w:rsidRDefault="005A1054" w:rsidP="005A1054">
      <w:pPr>
        <w:jc w:val="center"/>
      </w:pPr>
    </w:p>
    <w:p w14:paraId="78691BB9" w14:textId="77777777" w:rsidR="005A1054" w:rsidRDefault="005A1054" w:rsidP="005A1054">
      <w:pPr>
        <w:jc w:val="center"/>
      </w:pPr>
      <w:hyperlink r:id="rId8" w:history="1">
        <w:r>
          <w:rPr>
            <w:rStyle w:val="Hyperlink"/>
          </w:rPr>
          <w:t>http://bedrockconsortium.org/</w:t>
        </w:r>
      </w:hyperlink>
    </w:p>
    <w:p w14:paraId="1DE01342" w14:textId="77777777" w:rsidR="00D755FD" w:rsidRDefault="00D755FD" w:rsidP="003516B1">
      <w:pPr>
        <w:spacing w:after="240"/>
      </w:pPr>
    </w:p>
    <w:p w14:paraId="5F64DAC6" w14:textId="77777777" w:rsidR="00D755FD" w:rsidRDefault="00D755FD">
      <w:r>
        <w:br w:type="page"/>
      </w:r>
    </w:p>
    <w:p w14:paraId="553B3DD5" w14:textId="0D57D78C" w:rsidR="003516B1" w:rsidRDefault="003516B1" w:rsidP="003516B1">
      <w:pPr>
        <w:spacing w:before="97"/>
        <w:ind w:hanging="160"/>
        <w:rPr>
          <w:rFonts w:ascii="Arial" w:eastAsia="Times New Roman" w:hAnsi="Arial" w:cs="Arial"/>
          <w:b/>
          <w:bCs/>
          <w:color w:val="000000"/>
          <w:sz w:val="28"/>
          <w:szCs w:val="28"/>
        </w:rPr>
      </w:pPr>
      <w:r w:rsidRPr="003516B1">
        <w:rPr>
          <w:rFonts w:ascii="Arial" w:eastAsia="Times New Roman" w:hAnsi="Arial" w:cs="Arial"/>
          <w:b/>
          <w:bCs/>
          <w:color w:val="000000"/>
          <w:sz w:val="28"/>
          <w:szCs w:val="28"/>
        </w:rPr>
        <w:lastRenderedPageBreak/>
        <w:t>Summary</w:t>
      </w:r>
    </w:p>
    <w:p w14:paraId="7DF4DDF0" w14:textId="35F3365A" w:rsidR="00D755FD" w:rsidRDefault="00D755FD" w:rsidP="003516B1">
      <w:pPr>
        <w:spacing w:before="97"/>
        <w:ind w:hanging="160"/>
        <w:rPr>
          <w:rFonts w:ascii="Arial" w:eastAsia="Times New Roman" w:hAnsi="Arial" w:cs="Arial"/>
          <w:b/>
          <w:bCs/>
          <w:color w:val="000000"/>
          <w:sz w:val="28"/>
          <w:szCs w:val="28"/>
        </w:rPr>
      </w:pPr>
    </w:p>
    <w:p w14:paraId="5CBFE8F9" w14:textId="0423BAEC" w:rsidR="003516B1" w:rsidRPr="003516B1" w:rsidRDefault="003516B1" w:rsidP="00D755FD">
      <w:pPr>
        <w:spacing w:before="97"/>
        <w:ind w:left="-160"/>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 </w:t>
      </w:r>
      <w:r w:rsidRPr="003516B1">
        <w:rPr>
          <w:rFonts w:ascii="Arial" w:eastAsia="Times New Roman" w:hAnsi="Arial" w:cs="Arial"/>
          <w:color w:val="000000"/>
          <w:sz w:val="22"/>
          <w:szCs w:val="22"/>
        </w:rPr>
        <w:t>—</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it does not have any legal effect or replace the full legal text of the agreement provided below it.</w:t>
      </w:r>
    </w:p>
    <w:p w14:paraId="49597511" w14:textId="05F42ED5"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29E04B6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no promises about the reliability or correctness of the data being stored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or the operation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57DF00D9" w:rsidR="003516B1" w:rsidRPr="003516B1" w:rsidRDefault="00D755FD" w:rsidP="003516B1">
      <w:pPr>
        <w:spacing w:before="197"/>
        <w:jc w:val="both"/>
        <w:rPr>
          <w:rFonts w:ascii="Times New Roman" w:eastAsia="Times New Roman" w:hAnsi="Times New Roman" w:cs="Times New Roman"/>
        </w:rPr>
      </w:pPr>
      <w:r>
        <w:rPr>
          <w:rFonts w:ascii="Arial" w:eastAsia="Times New Roman" w:hAnsi="Arial" w:cs="Arial"/>
          <w:b/>
          <w:bCs/>
          <w:color w:val="000000"/>
          <w:sz w:val="28"/>
          <w:szCs w:val="28"/>
        </w:rPr>
        <w:t>Agreement</w:t>
      </w:r>
    </w:p>
    <w:p w14:paraId="23CFFFCC" w14:textId="77777777" w:rsidR="003516B1" w:rsidRPr="003516B1" w:rsidRDefault="003516B1" w:rsidP="003516B1">
      <w:pPr>
        <w:rPr>
          <w:rFonts w:ascii="Times New Roman" w:eastAsia="Times New Roman" w:hAnsi="Times New Roman" w:cs="Times New Roman"/>
        </w:rPr>
      </w:pPr>
    </w:p>
    <w:p w14:paraId="7D94FCBD" w14:textId="7DE5C0CF"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 nonprofit corporation organized under the laws of the State of Utah, United States of America (“</w:t>
      </w:r>
      <w:r w:rsidR="00173F18">
        <w:rPr>
          <w:rFonts w:ascii="Arial" w:eastAsia="Times New Roman" w:hAnsi="Arial" w:cs="Arial"/>
          <w:b/>
          <w:bCs/>
          <w:color w:val="000000"/>
          <w:sz w:val="22"/>
          <w:szCs w:val="22"/>
        </w:rPr>
        <w:t>Bedrock</w:t>
      </w:r>
      <w:r w:rsidR="00D755FD">
        <w:rPr>
          <w:rFonts w:ascii="Arial" w:eastAsia="Times New Roman" w:hAnsi="Arial" w:cs="Arial"/>
          <w:b/>
          <w:bCs/>
          <w:color w:val="000000"/>
          <w:sz w:val="22"/>
          <w:szCs w:val="22"/>
        </w:rPr>
        <w:t xml:space="preserve"> Consortium</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w:t>
      </w:r>
    </w:p>
    <w:p w14:paraId="57B0D160" w14:textId="660270E5"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Transaction Author agrees to be bound by this Agreement and all terms incorporated by reference.  If Transaction Author does not agree to this Agreement in its entirety, do not click “Accept” or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355D2D50" w14:textId="5CCA72EE"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material changes to this Agreement, </w:t>
      </w:r>
      <w:r w:rsidR="00D755FD">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will notify you by posting a notice on our website prior to the effective date of the changes. By continuing to act as a Transaction Author or by otherwise writing Transactions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0EEF2BD4"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2423E115"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subject to the Transaction Author complying with the terms and conditions of this Agreement,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grants permission to the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D755FD" w:rsidRDefault="003516B1" w:rsidP="00D755FD">
      <w:pPr>
        <w:pStyle w:val="Heading1"/>
      </w:pPr>
      <w:r w:rsidRPr="00D755FD">
        <w:t>Definitions</w:t>
      </w:r>
    </w:p>
    <w:p w14:paraId="19B3B1DB" w14:textId="77777777" w:rsidR="003516B1" w:rsidRPr="003516B1" w:rsidRDefault="003516B1" w:rsidP="003516B1">
      <w:pPr>
        <w:rPr>
          <w:rFonts w:ascii="Times New Roman" w:eastAsia="Times New Roman" w:hAnsi="Times New Roman" w:cs="Times New Roman"/>
        </w:rPr>
      </w:pPr>
    </w:p>
    <w:p w14:paraId="1DBACC31" w14:textId="77777777" w:rsidR="003516B1" w:rsidRPr="003516B1" w:rsidRDefault="003516B1" w:rsidP="00D755FD">
      <w:pPr>
        <w:numPr>
          <w:ilvl w:val="0"/>
          <w:numId w:val="23"/>
        </w:numPr>
        <w:ind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22383F08"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0884C223"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not Permissible Personal Data.  </w:t>
      </w:r>
    </w:p>
    <w:p w14:paraId="6714EDF5"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7B6DF9A9"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permitted under this Agreement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Governance Framework (including the </w:t>
      </w:r>
      <w:hyperlink r:id="rId9" w:history="1">
        <w:r w:rsidR="00D755FD">
          <w:rPr>
            <w:rFonts w:ascii="Arial" w:eastAsia="Times New Roman" w:hAnsi="Arial" w:cs="Arial"/>
            <w:color w:val="0000FF"/>
            <w:sz w:val="22"/>
            <w:szCs w:val="22"/>
            <w:u w:val="single"/>
          </w:rPr>
          <w:t>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7992EFCE" w:rsidR="003516B1" w:rsidRPr="003516B1" w:rsidRDefault="003516B1" w:rsidP="00D755FD">
      <w:pPr>
        <w:numPr>
          <w:ilvl w:val="0"/>
          <w:numId w:val="23"/>
        </w:numPr>
        <w:spacing w:after="240"/>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00173F18">
        <w:rPr>
          <w:rFonts w:ascii="Arial" w:eastAsia="Times New Roman" w:hAnsi="Arial" w:cs="Arial"/>
          <w:b/>
          <w:bCs/>
          <w:color w:val="000000"/>
          <w:sz w:val="22"/>
          <w:szCs w:val="22"/>
        </w:rPr>
        <w:t>Bedrock</w:t>
      </w:r>
      <w:r w:rsidR="00CF5B0E">
        <w:rPr>
          <w:rFonts w:ascii="Arial" w:eastAsia="Times New Roman" w:hAnsi="Arial" w:cs="Arial"/>
          <w:b/>
          <w:bCs/>
          <w:color w:val="000000"/>
          <w:sz w:val="22"/>
          <w:szCs w:val="22"/>
        </w:rPr>
        <w:t xml:space="preserve"> Governance </w:t>
      </w:r>
      <w:proofErr w:type="gramStart"/>
      <w:r w:rsidR="00CF5B0E">
        <w:rPr>
          <w:rFonts w:ascii="Arial" w:eastAsia="Times New Roman" w:hAnsi="Arial" w:cs="Arial"/>
          <w:b/>
          <w:bCs/>
          <w:color w:val="000000"/>
          <w:sz w:val="22"/>
          <w:szCs w:val="22"/>
        </w:rPr>
        <w:t xml:space="preserve">Framework </w:t>
      </w:r>
      <w:r w:rsidRPr="003516B1">
        <w:rPr>
          <w:rFonts w:ascii="Arial" w:eastAsia="Times New Roman" w:hAnsi="Arial" w:cs="Arial"/>
          <w:color w:val="000000"/>
          <w:sz w:val="22"/>
          <w:szCs w:val="22"/>
        </w:rPr>
        <w:t>”</w:t>
      </w:r>
      <w:proofErr w:type="gramEnd"/>
      <w:r w:rsidRPr="003516B1">
        <w:rPr>
          <w:rFonts w:ascii="Arial" w:eastAsia="Times New Roman" w:hAnsi="Arial" w:cs="Arial"/>
          <w:color w:val="000000"/>
          <w:sz w:val="22"/>
          <w:szCs w:val="22"/>
        </w:rPr>
        <w:t xml:space="preserve"> means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governance policies and rules available at </w:t>
      </w:r>
      <w:hyperlink r:id="rId10"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 Website</w:t>
        </w:r>
      </w:hyperlink>
      <w:r w:rsidRPr="003516B1">
        <w:rPr>
          <w:rFonts w:ascii="Arial" w:eastAsia="Times New Roman" w:hAnsi="Arial" w:cs="Arial"/>
          <w:color w:val="000000"/>
          <w:sz w:val="22"/>
          <w:szCs w:val="22"/>
        </w:rPr>
        <w:t xml:space="preserve"> or any successor website.</w:t>
      </w:r>
    </w:p>
    <w:p w14:paraId="71936FDA" w14:textId="5A6F614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11"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w:t>
        </w:r>
      </w:hyperlink>
      <w:r w:rsidRPr="003516B1">
        <w:rPr>
          <w:rFonts w:ascii="Arial" w:eastAsia="Times New Roman" w:hAnsi="Arial" w:cs="Arial"/>
          <w:color w:val="000000"/>
          <w:sz w:val="22"/>
          <w:szCs w:val="22"/>
        </w:rPr>
        <w:t xml:space="preserve"> and corresponding </w:t>
      </w:r>
      <w:hyperlink r:id="rId12" w:history="1">
        <w:r w:rsidR="00CF5B0E">
          <w:rPr>
            <w:rFonts w:ascii="Arial" w:eastAsia="Times New Roman" w:hAnsi="Arial" w:cs="Arial"/>
            <w:color w:val="0000FF"/>
            <w:sz w:val="22"/>
            <w:szCs w:val="22"/>
            <w:u w:val="single"/>
          </w:rPr>
          <w:t>Glossary</w:t>
        </w:r>
      </w:hyperlink>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 </w:t>
      </w:r>
      <w:r w:rsidRPr="003516B1">
        <w:rPr>
          <w:rFonts w:ascii="Arial" w:eastAsia="Times New Roman" w:hAnsi="Arial" w:cs="Arial"/>
          <w:color w:val="000000"/>
          <w:sz w:val="22"/>
          <w:szCs w:val="22"/>
        </w:rPr>
        <w:t xml:space="preserve">and </w:t>
      </w:r>
      <w:r w:rsidR="00CF5B0E">
        <w:rPr>
          <w:rFonts w:ascii="Arial" w:eastAsia="Times New Roman" w:hAnsi="Arial" w:cs="Arial"/>
          <w:color w:val="000000"/>
          <w:sz w:val="22"/>
          <w:szCs w:val="22"/>
        </w:rPr>
        <w:t xml:space="preserve">associated </w:t>
      </w:r>
      <w:r w:rsidRPr="003516B1">
        <w:rPr>
          <w:rFonts w:ascii="Arial" w:eastAsia="Times New Roman" w:hAnsi="Arial" w:cs="Arial"/>
          <w:color w:val="000000"/>
          <w:sz w:val="22"/>
          <w:szCs w:val="22"/>
        </w:rPr>
        <w:t>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0CA46F7F" w:rsidR="003516B1" w:rsidRPr="003516B1" w:rsidRDefault="003516B1" w:rsidP="00D755FD">
      <w:pPr>
        <w:pStyle w:val="Heading1"/>
        <w:rPr>
          <w:sz w:val="48"/>
        </w:rPr>
      </w:pPr>
      <w:r w:rsidRPr="003516B1">
        <w:t xml:space="preserve">Permission to Write to the </w:t>
      </w:r>
      <w:r w:rsidR="00173F18">
        <w:t>Bedrock</w:t>
      </w:r>
      <w:r w:rsidR="00D755FD">
        <w:t xml:space="preserve"> Business Utility</w:t>
      </w:r>
    </w:p>
    <w:p w14:paraId="50B102E7" w14:textId="38B8EA88"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CF5B0E">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hereby grants to Transaction Author a non-exclusive, non-assignable, non-sublicensable, royalty free, revocable license to write to and use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accordance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w:t>
      </w:r>
    </w:p>
    <w:p w14:paraId="31C94730" w14:textId="06E84211"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When authoring Transactions, a Transaction Author may only write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using an authorized Transaction Endorser. </w:t>
      </w:r>
    </w:p>
    <w:p w14:paraId="11BCCC2A" w14:textId="4B21729C"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Once an initial Transaction has been written </w:t>
      </w:r>
      <w:r w:rsidR="00CF5B0E">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Please note, an Update Transaction does not remove the Initial Transaction, which will remain on the</w:t>
      </w:r>
      <w:r w:rsidR="00CF5B0E">
        <w:rPr>
          <w:rFonts w:ascii="Arial" w:eastAsia="Times New Roman" w:hAnsi="Arial" w:cs="Arial"/>
          <w:color w:val="000000"/>
          <w:sz w:val="22"/>
          <w:szCs w:val="22"/>
        </w:rPr>
        <w:t xml:space="preserve"> </w:t>
      </w:r>
      <w:r w:rsidR="003F372F">
        <w:rPr>
          <w:rFonts w:ascii="Arial" w:eastAsia="Times New Roman" w:hAnsi="Arial" w:cs="Arial"/>
          <w:color w:val="000000"/>
          <w:sz w:val="22"/>
          <w:szCs w:val="22"/>
        </w:rPr>
        <w:t xml:space="preserve">originally targeted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Business Utility</w:t>
      </w:r>
      <w:r w:rsidR="00CF5B0E" w:rsidRPr="003516B1">
        <w:rPr>
          <w:rFonts w:ascii="Arial" w:eastAsia="Times New Roman" w:hAnsi="Arial" w:cs="Arial"/>
          <w:color w:val="000000"/>
          <w:sz w:val="22"/>
          <w:szCs w:val="22"/>
        </w:rPr>
        <w:t xml:space="preserve"> </w:t>
      </w:r>
      <w:r w:rsidR="00CF5B0E">
        <w:rPr>
          <w:rFonts w:ascii="Arial" w:eastAsia="Times New Roman" w:hAnsi="Arial" w:cs="Arial"/>
          <w:color w:val="000000"/>
          <w:sz w:val="22"/>
          <w:szCs w:val="22"/>
        </w:rPr>
        <w:t xml:space="preserve">environment (prod, test, dev) </w:t>
      </w:r>
      <w:r w:rsidRPr="003516B1">
        <w:rPr>
          <w:rFonts w:ascii="Arial" w:eastAsia="Times New Roman" w:hAnsi="Arial" w:cs="Arial"/>
          <w:color w:val="000000"/>
          <w:sz w:val="22"/>
          <w:szCs w:val="22"/>
        </w:rPr>
        <w:t xml:space="preserve">due to its immutability and </w:t>
      </w:r>
      <w:r w:rsidR="003F372F">
        <w:rPr>
          <w:rFonts w:ascii="Arial" w:eastAsia="Times New Roman" w:hAnsi="Arial" w:cs="Arial"/>
          <w:color w:val="000000"/>
          <w:sz w:val="22"/>
          <w:szCs w:val="22"/>
        </w:rPr>
        <w:t>u</w:t>
      </w:r>
      <w:r w:rsidRPr="003516B1">
        <w:rPr>
          <w:rFonts w:ascii="Arial" w:eastAsia="Times New Roman" w:hAnsi="Arial" w:cs="Arial"/>
          <w:color w:val="000000"/>
          <w:sz w:val="22"/>
          <w:szCs w:val="22"/>
        </w:rPr>
        <w:t>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F372F">
      <w:pPr>
        <w:pStyle w:val="Heading1"/>
        <w:rPr>
          <w:sz w:val="48"/>
        </w:rPr>
      </w:pPr>
      <w:r w:rsidRPr="003516B1">
        <w:t>Transaction Author Obligations</w:t>
      </w:r>
    </w:p>
    <w:p w14:paraId="698B979C" w14:textId="52D42EF6" w:rsidR="003516B1" w:rsidRPr="003F372F" w:rsidRDefault="003516B1" w:rsidP="003F372F">
      <w:pPr>
        <w:pStyle w:val="ListParagraph"/>
        <w:numPr>
          <w:ilvl w:val="0"/>
          <w:numId w:val="28"/>
        </w:numPr>
      </w:pPr>
      <w:r w:rsidRPr="003F372F">
        <w:t>With</w:t>
      </w:r>
      <w:r w:rsidR="003F372F" w:rsidRPr="003F372F">
        <w:t xml:space="preserve"> </w:t>
      </w:r>
      <w:r w:rsidRPr="003F372F">
        <w:t xml:space="preserve">regard to all Transactions, </w:t>
      </w:r>
      <w:r w:rsidR="003F372F">
        <w:t xml:space="preserve">the </w:t>
      </w:r>
      <w:r w:rsidRPr="003F372F">
        <w:t>Transaction Author will:</w:t>
      </w:r>
      <w:r w:rsidRPr="003F372F">
        <w:br/>
      </w:r>
    </w:p>
    <w:p w14:paraId="2B443CDA" w14:textId="77777777"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04BFD8F8"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not write Transactions containing Personal Data pursuant to Section 3(b) below. </w:t>
      </w:r>
    </w:p>
    <w:p w14:paraId="544F5054" w14:textId="12861BF5" w:rsidR="003516B1" w:rsidRPr="003516B1" w:rsidRDefault="003516B1" w:rsidP="003F372F">
      <w:pPr>
        <w:numPr>
          <w:ilvl w:val="0"/>
          <w:numId w:val="28"/>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approves</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xml:space="preserve">”), then </w:t>
      </w:r>
      <w:proofErr w:type="gramStart"/>
      <w:r w:rsidR="003F372F">
        <w:rPr>
          <w:rFonts w:ascii="Arial" w:eastAsia="Times New Roman" w:hAnsi="Arial" w:cs="Arial"/>
          <w:color w:val="000000"/>
          <w:sz w:val="22"/>
          <w:szCs w:val="22"/>
        </w:rPr>
        <w:t xml:space="preserve">the </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w:t>
      </w:r>
      <w:proofErr w:type="gramEnd"/>
      <w:r w:rsidRPr="003516B1">
        <w:rPr>
          <w:rFonts w:ascii="Arial" w:eastAsia="Times New Roman" w:hAnsi="Arial" w:cs="Arial"/>
          <w:color w:val="000000"/>
          <w:sz w:val="22"/>
          <w:szCs w:val="22"/>
        </w:rPr>
        <w:t xml:space="preserve"> Author expressly agrees that:</w:t>
      </w:r>
    </w:p>
    <w:p w14:paraId="01C979C4" w14:textId="050BA9B8"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will not write any Transactions that contain Impermissible Personal Data to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Business Utility</w:t>
      </w:r>
      <w:r w:rsidRPr="003F372F">
        <w:rPr>
          <w:rFonts w:ascii="Arial" w:eastAsia="Times New Roman" w:hAnsi="Arial" w:cs="Arial"/>
          <w:color w:val="000000"/>
          <w:sz w:val="22"/>
          <w:szCs w:val="22"/>
        </w:rPr>
        <w:t>;</w:t>
      </w:r>
    </w:p>
    <w:p w14:paraId="2951001D"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1DE2A541"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rights and/or obligations it may have now or in the future against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as a result of being unable to fulfill data subject requests in accordance with Data Protection Laws;</w:t>
      </w:r>
    </w:p>
    <w:p w14:paraId="258325D1"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F372F">
        <w:rPr>
          <w:rFonts w:ascii="Arial" w:eastAsia="Times New Roman" w:hAnsi="Arial" w:cs="Arial"/>
          <w:b/>
          <w:bCs/>
          <w:color w:val="000000"/>
          <w:sz w:val="22"/>
          <w:szCs w:val="22"/>
        </w:rPr>
        <w:t>DPAs</w:t>
      </w:r>
      <w:r w:rsidRPr="003F372F">
        <w:rPr>
          <w:rFonts w:ascii="Arial" w:eastAsia="Times New Roman" w:hAnsi="Arial" w:cs="Arial"/>
          <w:color w:val="000000"/>
          <w:sz w:val="22"/>
          <w:szCs w:val="22"/>
        </w:rPr>
        <w:t>”); </w:t>
      </w:r>
    </w:p>
    <w:p w14:paraId="334E99EB" w14:textId="2EE40575"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has the right to enter into the DPAs on its behalf and the DPAs are made a part of the Agreement in their entirety;</w:t>
      </w:r>
    </w:p>
    <w:p w14:paraId="6973A1CA" w14:textId="58FBA493"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by signing this Agreement, each Party is deemed to have signed the DPAs, including the Standard Contractual Clauses with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and Transaction Author as the “Data exporter,” and with either a Steward or a Transaction Endorser as “Data importer,” as applicable; </w:t>
      </w:r>
    </w:p>
    <w:p w14:paraId="14129EEC" w14:textId="11F92A0D"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Pr="003F372F">
        <w:rPr>
          <w:rFonts w:ascii="Arial" w:eastAsia="Times New Roman" w:hAnsi="Arial" w:cs="Arial"/>
          <w:color w:val="000000"/>
          <w:sz w:val="22"/>
          <w:szCs w:val="22"/>
        </w:rPr>
        <w:t xml:space="preserve">’s request, the Transaction Author will reimburse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for any costs incurred by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in enforcing the Transaction Author’s rights under the GDPR, including but not limited to fulfillment of data subject rights, rights of oversight and audit, etc.; and</w:t>
      </w:r>
    </w:p>
    <w:p w14:paraId="296783BA" w14:textId="031079CE"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lastRenderedPageBreak/>
        <w:t xml:space="preserve">it irrevocably waives any and all claims that it may have now or in the future 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4A75EF">
      <w:pPr>
        <w:pStyle w:val="Heading1"/>
        <w:rPr>
          <w:sz w:val="48"/>
        </w:rPr>
      </w:pPr>
      <w:r w:rsidRPr="003516B1">
        <w:t>Term and Termination</w:t>
      </w:r>
    </w:p>
    <w:p w14:paraId="6A9F1184" w14:textId="77777777"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4BCB437E"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288D17AC" w14:textId="6BAA1C39"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and ceasing all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w:t>
      </w:r>
    </w:p>
    <w:p w14:paraId="47D1E2BF" w14:textId="24486205" w:rsidR="003516B1" w:rsidRPr="003516B1" w:rsidRDefault="003516B1" w:rsidP="004A75EF">
      <w:pPr>
        <w:numPr>
          <w:ilvl w:val="1"/>
          <w:numId w:val="29"/>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4A75EF">
      <w:pPr>
        <w:pStyle w:val="Heading1"/>
        <w:rPr>
          <w:sz w:val="48"/>
        </w:rPr>
      </w:pPr>
      <w:r w:rsidRPr="003516B1">
        <w:t>Representations and Warranties; Disclaimer</w:t>
      </w:r>
    </w:p>
    <w:p w14:paraId="58B8B90C" w14:textId="7ECD87C5" w:rsidR="00122032" w:rsidRPr="00122032" w:rsidRDefault="003516B1" w:rsidP="00122032">
      <w:pPr>
        <w:pStyle w:val="ListParagraph"/>
        <w:numPr>
          <w:ilvl w:val="0"/>
          <w:numId w:val="30"/>
        </w:numPr>
        <w:jc w:val="both"/>
        <w:textAlignment w:val="baseline"/>
        <w:rPr>
          <w:rFonts w:ascii="Arial" w:eastAsia="Times New Roman" w:hAnsi="Arial" w:cs="Arial"/>
          <w:color w:val="000000"/>
          <w:sz w:val="22"/>
          <w:szCs w:val="22"/>
          <w:u w:val="single"/>
        </w:rPr>
      </w:pPr>
      <w:r w:rsidRPr="004A75EF">
        <w:rPr>
          <w:u w:val="single"/>
        </w:rPr>
        <w:t>By</w:t>
      </w:r>
      <w:r w:rsidR="004A75EF" w:rsidRPr="004A75EF">
        <w:rPr>
          <w:u w:val="single"/>
        </w:rPr>
        <w:t xml:space="preserve"> </w:t>
      </w:r>
      <w:r w:rsidR="00173F18">
        <w:rPr>
          <w:u w:val="single"/>
        </w:rPr>
        <w:t>Bedrock</w:t>
      </w:r>
      <w:r w:rsidR="00D755FD" w:rsidRPr="004A75EF">
        <w:rPr>
          <w:u w:val="single"/>
        </w:rPr>
        <w:t xml:space="preserve"> Consortium</w:t>
      </w:r>
      <w:r w:rsidR="004A75EF" w:rsidRPr="004A75EF">
        <w:rPr>
          <w:u w:val="single"/>
        </w:rPr>
        <w:t>.</w:t>
      </w:r>
    </w:p>
    <w:p w14:paraId="194239B7" w14:textId="1F8F8105" w:rsidR="003516B1" w:rsidRPr="004A75EF" w:rsidRDefault="003516B1" w:rsidP="004A75EF">
      <w:pPr>
        <w:jc w:val="both"/>
        <w:textAlignment w:val="baseline"/>
        <w:rPr>
          <w:rFonts w:ascii="Arial" w:eastAsia="Times New Roman" w:hAnsi="Arial" w:cs="Arial"/>
          <w:color w:val="000000"/>
          <w:sz w:val="22"/>
          <w:szCs w:val="22"/>
        </w:rPr>
      </w:pPr>
    </w:p>
    <w:p w14:paraId="1CACF16E" w14:textId="3BCF79C4" w:rsidR="003516B1" w:rsidRPr="003516B1" w:rsidRDefault="003516B1" w:rsidP="00122032">
      <w:pPr>
        <w:numPr>
          <w:ilvl w:val="0"/>
          <w:numId w:val="34"/>
        </w:numPr>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004A75EF">
        <w:rPr>
          <w:rFonts w:ascii="Arial" w:eastAsia="Times New Roman" w:hAnsi="Arial" w:cs="Arial"/>
          <w:smallCaps/>
          <w:color w:val="000000"/>
          <w:sz w:val="22"/>
          <w:szCs w:val="22"/>
        </w:rPr>
        <w:t>IS</w:t>
      </w:r>
      <w:r w:rsidRPr="003516B1">
        <w:rPr>
          <w:rFonts w:ascii="Arial" w:eastAsia="Times New Roman" w:hAnsi="Arial" w:cs="Arial"/>
          <w:smallCaps/>
          <w:color w:val="000000"/>
          <w:sz w:val="22"/>
          <w:szCs w:val="22"/>
        </w:rPr>
        <w:t xml:space="preserve"> PROVIDED AS-IS WITH ALL FAULTS. TO THE FULLEST EXTENT PERMITTED BY APPLICABLE LAW,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CONSORTIUM</w:t>
      </w:r>
      <w:r w:rsidR="004A75EF">
        <w:rPr>
          <w:rFonts w:ascii="Arial" w:eastAsia="Times New Roman" w:hAnsi="Arial" w:cs="Arial"/>
          <w:smallCaps/>
          <w:color w:val="000000"/>
          <w:sz w:val="22"/>
          <w:szCs w:val="22"/>
        </w:rPr>
        <w:t xml:space="preserve"> </w:t>
      </w:r>
      <w:r w:rsidRPr="003516B1">
        <w:rPr>
          <w:rFonts w:ascii="Arial" w:eastAsia="Times New Roman" w:hAnsi="Arial" w:cs="Arial"/>
          <w:smallCaps/>
          <w:color w:val="000000"/>
          <w:sz w:val="22"/>
          <w:szCs w:val="22"/>
        </w:rPr>
        <w:t xml:space="preserve">MAKES NO REPRESENTATION OR WARRANTY CONCERNING THE ACCURACY, RELIABILITY, OR COMPLETENESS OF ANY INFORMATION OR DATA OBTAINED OR DERIVED THROUGH THE USE OF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xml:space="preserve">AS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4A75EF">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INFORMATION OR DATA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 ANY OTHER REPRESENTATIONS OR WARRANTIES, EXPRESS OR IMPLIED, INCLUDING WITHOUT LIMITATION, ANY WARRANTIES OF MERCHANTABILITY OR FITNESS FOR A PARTICULAR PURPOSE, NON-INFRINGEMENT, ACCURACY OR COMPLETENESS OF DATA.</w:t>
      </w:r>
    </w:p>
    <w:p w14:paraId="511FF72C" w14:textId="5B30311D" w:rsidR="00122032" w:rsidRPr="00122032" w:rsidRDefault="003516B1" w:rsidP="00122032">
      <w:pPr>
        <w:pStyle w:val="ListParagraph"/>
        <w:numPr>
          <w:ilvl w:val="0"/>
          <w:numId w:val="34"/>
        </w:numPr>
        <w:jc w:val="both"/>
        <w:textAlignment w:val="baseline"/>
        <w:rPr>
          <w:rFonts w:ascii="Arial" w:eastAsia="Times New Roman" w:hAnsi="Arial" w:cs="Arial"/>
          <w:color w:val="000000"/>
          <w:sz w:val="22"/>
          <w:szCs w:val="22"/>
          <w:u w:val="single"/>
        </w:rPr>
      </w:pPr>
      <w:r w:rsidRPr="003516B1">
        <w:rPr>
          <w:rFonts w:ascii="Arial" w:eastAsia="Times New Roman" w:hAnsi="Arial" w:cs="Arial"/>
          <w:color w:val="000000"/>
          <w:sz w:val="22"/>
          <w:szCs w:val="22"/>
        </w:rPr>
        <w:t xml:space="preserve">As the architect of the </w:t>
      </w:r>
      <w:r w:rsidR="00173F18">
        <w:rPr>
          <w:rFonts w:ascii="Arial" w:eastAsia="Times New Roman" w:hAnsi="Arial" w:cs="Arial"/>
          <w:color w:val="000000"/>
          <w:sz w:val="22"/>
          <w:szCs w:val="22"/>
        </w:rPr>
        <w:t>Bedrock</w:t>
      </w:r>
      <w:r w:rsidR="004A75EF">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and administrator of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an independent controller of the Personal Data Transactions. In no event will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be held liable for the actions or omissions of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arising out any Personal Data that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breach of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including but not limited to any Impermissible Personal Data. Notwithstanding the foregoing, if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t>
      </w:r>
      <w:r w:rsidRPr="003516B1">
        <w:rPr>
          <w:rFonts w:ascii="Arial" w:eastAsia="Times New Roman" w:hAnsi="Arial" w:cs="Arial"/>
          <w:color w:val="000000"/>
          <w:sz w:val="22"/>
          <w:szCs w:val="22"/>
        </w:rPr>
        <w:lastRenderedPageBreak/>
        <w:t xml:space="preserve">writes Permissible Personal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express compliance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responsible for the lawfulness of such Processing once such Permissible Personal Data is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r w:rsidR="00122032" w:rsidRPr="00122032">
        <w:rPr>
          <w:rFonts w:ascii="Arial" w:eastAsia="Times New Roman" w:hAnsi="Arial" w:cs="Arial"/>
          <w:color w:val="000000"/>
          <w:sz w:val="22"/>
          <w:szCs w:val="22"/>
          <w:u w:val="single"/>
        </w:rPr>
        <w:t xml:space="preserve"> </w:t>
      </w:r>
    </w:p>
    <w:p w14:paraId="046F4784" w14:textId="6129FBD5" w:rsidR="00122032" w:rsidRPr="00122032" w:rsidRDefault="00122032" w:rsidP="00122032">
      <w:pPr>
        <w:pStyle w:val="ListParagraph"/>
        <w:jc w:val="both"/>
        <w:textAlignment w:val="baseline"/>
        <w:rPr>
          <w:rFonts w:ascii="Arial" w:eastAsia="Times New Roman" w:hAnsi="Arial" w:cs="Arial"/>
          <w:color w:val="000000"/>
          <w:sz w:val="22"/>
          <w:szCs w:val="22"/>
          <w:u w:val="single"/>
        </w:rPr>
      </w:pPr>
    </w:p>
    <w:p w14:paraId="2BB00C21" w14:textId="77777777" w:rsidR="00122032" w:rsidRPr="00122032" w:rsidRDefault="003516B1" w:rsidP="00122032">
      <w:pPr>
        <w:pStyle w:val="ListParagraph"/>
        <w:numPr>
          <w:ilvl w:val="0"/>
          <w:numId w:val="30"/>
        </w:numPr>
        <w:rPr>
          <w:rFonts w:ascii="Arial" w:eastAsia="Times New Roman" w:hAnsi="Arial" w:cs="Arial"/>
          <w:color w:val="000000"/>
          <w:sz w:val="22"/>
          <w:szCs w:val="22"/>
          <w:u w:val="single"/>
        </w:rPr>
      </w:pPr>
      <w:r w:rsidRPr="00122032">
        <w:rPr>
          <w:u w:val="single"/>
        </w:rPr>
        <w:t>By Transaction Author.</w:t>
      </w:r>
    </w:p>
    <w:p w14:paraId="5322D970" w14:textId="65D2A1AF" w:rsidR="003516B1" w:rsidRPr="00122032" w:rsidRDefault="003516B1" w:rsidP="00122032">
      <w:pPr>
        <w:ind w:left="720"/>
        <w:rPr>
          <w:rFonts w:ascii="Arial" w:eastAsia="Times New Roman" w:hAnsi="Arial" w:cs="Arial"/>
          <w:color w:val="000000"/>
          <w:sz w:val="22"/>
          <w:szCs w:val="22"/>
          <w:u w:val="single"/>
        </w:rPr>
      </w:pPr>
      <w:r w:rsidRPr="003516B1">
        <w:t>Transaction Author represents and warrants:</w:t>
      </w:r>
      <w:r w:rsidRPr="003516B1">
        <w:br/>
      </w:r>
    </w:p>
    <w:p w14:paraId="7AFC6DEF"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1B6A3543"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122032">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disclaims any responsibilities with respect to access of data from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791CAD1B" w14:textId="5CDF7189"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transfer of data between Nodes and over communications facilities, including the internet, and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may be subject to limitations, delays, and other problems inherent in the use of such communications facilities;</w:t>
      </w:r>
    </w:p>
    <w:p w14:paraId="5C29D32D" w14:textId="1AE62F9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2DAE451A"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may modify, at any time, its Ledger Access Policies and the terms of this Agreement and any other agreement or document related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based on new information, guidance, or Data Protection Laws; and </w:t>
      </w:r>
    </w:p>
    <w:p w14:paraId="07960120" w14:textId="7F8A41FE"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required to do so by a court order or applicable law or (ii)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7264A4">
      <w:pPr>
        <w:pStyle w:val="Heading1"/>
      </w:pPr>
      <w:r w:rsidRPr="003516B1">
        <w:t>Indemnification </w:t>
      </w:r>
    </w:p>
    <w:p w14:paraId="16EBD06C" w14:textId="5BFE6EF5" w:rsidR="003516B1" w:rsidRPr="003516B1" w:rsidRDefault="003516B1" w:rsidP="007264A4">
      <w:pPr>
        <w:numPr>
          <w:ilvl w:val="1"/>
          <w:numId w:val="37"/>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and each of its respective officers, directors, agents, partners and employees (individually and collectively, the “</w:t>
      </w:r>
      <w:r w:rsidR="00173F18">
        <w:rPr>
          <w:rFonts w:ascii="Arial" w:eastAsia="Times New Roman" w:hAnsi="Arial" w:cs="Arial"/>
          <w:b/>
          <w:bCs/>
          <w:color w:val="000000"/>
          <w:sz w:val="22"/>
          <w:szCs w:val="22"/>
        </w:rPr>
        <w:t>Bedrock</w:t>
      </w:r>
      <w:r w:rsidR="007264A4">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violation of this Agreement; (ii) Transaction Author’s violation, misappropriation or infringement of any rights of another (including intellectual property rights or privacy rights); or (iii) Transaction Author’s violation of applicable law. </w:t>
      </w:r>
    </w:p>
    <w:p w14:paraId="6FA773C2" w14:textId="1B9BF367" w:rsidR="003516B1" w:rsidRPr="003516B1" w:rsidRDefault="003516B1" w:rsidP="007264A4">
      <w:pPr>
        <w:numPr>
          <w:ilvl w:val="1"/>
          <w:numId w:val="3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writing of any Claims, cooperate with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defending such Claims and pay all fees, costs and expenses associated with defending such Claims (including attorneys’ fees). Transaction Author also agrees that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will have sole control of the defense or </w:t>
      </w:r>
      <w:r w:rsidRPr="003516B1">
        <w:rPr>
          <w:rFonts w:ascii="Arial" w:eastAsia="Times New Roman" w:hAnsi="Arial" w:cs="Arial"/>
          <w:color w:val="000000"/>
          <w:sz w:val="22"/>
          <w:szCs w:val="22"/>
        </w:rPr>
        <w:lastRenderedPageBreak/>
        <w:t xml:space="preserve">settlement, 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sole option, of any Claims. This indemnity is in addition to, and not in lieu of, any other indemnities set forth in a written agreement between Transaction Author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7264A4">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or the other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w:t>
      </w:r>
    </w:p>
    <w:p w14:paraId="0610BFFB" w14:textId="77777777" w:rsidR="003516B1" w:rsidRPr="003516B1" w:rsidRDefault="003516B1" w:rsidP="007264A4">
      <w:pPr>
        <w:pStyle w:val="Heading1"/>
        <w:rPr>
          <w:sz w:val="48"/>
        </w:rPr>
      </w:pPr>
      <w:r w:rsidRPr="003516B1">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EA140D">
      <w:pPr>
        <w:pStyle w:val="Heading1"/>
        <w:rPr>
          <w:sz w:val="48"/>
        </w:rPr>
      </w:pPr>
      <w:r w:rsidRPr="003516B1">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THIS AGREEMENT EXCEED $250,000 USD IN THE AGGREGATE, PROVIDED THAT THERE WILL BE NO DOLLAR CAP ON LIABILITY FOR DAMAGES ARISING FROM </w:t>
      </w:r>
      <w:r w:rsidRPr="003516B1">
        <w:rPr>
          <w:rFonts w:ascii="Arial" w:eastAsia="Times New Roman" w:hAnsi="Arial" w:cs="Arial"/>
          <w:color w:val="000000"/>
          <w:sz w:val="22"/>
          <w:szCs w:val="22"/>
        </w:rPr>
        <w:lastRenderedPageBreak/>
        <w:t>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EA140D">
      <w:pPr>
        <w:pStyle w:val="Heading1"/>
        <w:rPr>
          <w:sz w:val="48"/>
        </w:rPr>
      </w:pPr>
      <w:r w:rsidRPr="003516B1">
        <w:t>Miscellaneous</w:t>
      </w:r>
    </w:p>
    <w:p w14:paraId="7A491C80" w14:textId="402C5244"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notices will be sent to Attn: Legal, 86 N University Ave, Suite 110, Provo, UT 84601.</w:t>
      </w:r>
    </w:p>
    <w:p w14:paraId="61D74E6A"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279A86F0"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and the Transaction Author with respect to the subject matter hereof.</w:t>
      </w:r>
    </w:p>
    <w:p w14:paraId="17CD185D" w14:textId="1E2B4833"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reserves the right to modify this Agreement at any time in accordance with this provision, including, but not limited to, changes in applicable law or guidance from any jurisdiction.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will post an amended version of this Agreement on its website at least forty-five (45) days prior to the date on which all Transaction Authors must begin operating under the amendment (the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w:t>
      </w:r>
      <w:r w:rsidRPr="003516B1">
        <w:rPr>
          <w:rFonts w:ascii="Arial" w:eastAsia="Times New Roman" w:hAnsi="Arial" w:cs="Arial"/>
          <w:color w:val="000000"/>
          <w:sz w:val="22"/>
          <w:szCs w:val="22"/>
        </w:rPr>
        <w:lastRenderedPageBreak/>
        <w:t xml:space="preserve">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the Amendment Cutover Date, such continued use will constitute acceptance of the amended Agreement.     </w:t>
      </w:r>
    </w:p>
    <w:p w14:paraId="322C6467"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4470A9" w:rsidP="003516B1">
      <w:pPr>
        <w:spacing w:before="172"/>
        <w:ind w:hanging="112"/>
        <w:jc w:val="center"/>
        <w:rPr>
          <w:rFonts w:ascii="Times New Roman" w:eastAsia="Times New Roman" w:hAnsi="Times New Roman" w:cs="Times New Roman"/>
        </w:rPr>
      </w:pPr>
      <w:hyperlink r:id="rId13"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4470A9" w:rsidP="003516B1">
      <w:pPr>
        <w:spacing w:before="172"/>
        <w:ind w:hanging="112"/>
        <w:jc w:val="center"/>
        <w:rPr>
          <w:rFonts w:ascii="Times New Roman" w:eastAsia="Times New Roman" w:hAnsi="Times New Roman" w:cs="Times New Roman"/>
        </w:rPr>
      </w:pPr>
      <w:hyperlink r:id="rId14"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5630CF2B"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20</w:t>
      </w:r>
      <w:r w:rsidR="00C62269">
        <w:rPr>
          <w:rFonts w:ascii="Arial" w:eastAsia="Times New Roman" w:hAnsi="Arial" w:cs="Arial"/>
          <w:color w:val="000000"/>
          <w:sz w:val="22"/>
          <w:szCs w:val="22"/>
        </w:rPr>
        <w:t>20</w:t>
      </w:r>
      <w:r w:rsidRPr="003516B1">
        <w:rPr>
          <w:rFonts w:ascii="Arial" w:eastAsia="Times New Roman" w:hAnsi="Arial" w:cs="Arial"/>
          <w:color w:val="000000"/>
          <w:sz w:val="22"/>
          <w:szCs w:val="22"/>
        </w:rPr>
        <w:t xml:space="preserve"> by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5"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4470A9"/>
    <w:sectPr w:rsidR="00A6194C" w:rsidSect="00612D6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FCD15" w14:textId="77777777" w:rsidR="004470A9" w:rsidRDefault="004470A9" w:rsidP="00D755FD">
      <w:r>
        <w:separator/>
      </w:r>
    </w:p>
  </w:endnote>
  <w:endnote w:type="continuationSeparator" w:id="0">
    <w:p w14:paraId="5989A77B" w14:textId="77777777" w:rsidR="004470A9" w:rsidRDefault="004470A9"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F9115" w14:textId="77777777" w:rsidR="004470A9" w:rsidRDefault="004470A9" w:rsidP="00D755FD">
      <w:r>
        <w:separator/>
      </w:r>
    </w:p>
  </w:footnote>
  <w:footnote w:type="continuationSeparator" w:id="0">
    <w:p w14:paraId="53B8D43E" w14:textId="77777777" w:rsidR="004470A9" w:rsidRDefault="004470A9" w:rsidP="00D7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7"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954425"/>
    <w:multiLevelType w:val="hybridMultilevel"/>
    <w:tmpl w:val="26D06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2"/>
    <w:lvlOverride w:ilvl="1">
      <w:lvl w:ilvl="1">
        <w:numFmt w:val="lowerLetter"/>
        <w:lvlText w:val="%2."/>
        <w:lvlJc w:val="left"/>
      </w:lvl>
    </w:lvlOverride>
  </w:num>
  <w:num w:numId="4">
    <w:abstractNumId w:val="23"/>
    <w:lvlOverride w:ilvl="0">
      <w:lvl w:ilvl="0">
        <w:numFmt w:val="decimal"/>
        <w:lvlText w:val="%1."/>
        <w:lvlJc w:val="left"/>
      </w:lvl>
    </w:lvlOverride>
  </w:num>
  <w:num w:numId="5">
    <w:abstractNumId w:val="11"/>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3"/>
    <w:lvlOverride w:ilvl="0">
      <w:lvl w:ilvl="0">
        <w:numFmt w:val="lowerLetter"/>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18"/>
  </w:num>
  <w:num w:numId="13">
    <w:abstractNumId w:val="16"/>
  </w:num>
  <w:num w:numId="14">
    <w:abstractNumId w:val="20"/>
  </w:num>
  <w:num w:numId="15">
    <w:abstractNumId w:val="26"/>
    <w:lvlOverride w:ilvl="0">
      <w:lvl w:ilvl="0">
        <w:numFmt w:val="decimal"/>
        <w:lvlText w:val="%1."/>
        <w:lvlJc w:val="left"/>
      </w:lvl>
    </w:lvlOverride>
  </w:num>
  <w:num w:numId="16">
    <w:abstractNumId w:val="26"/>
    <w:lvlOverride w:ilvl="0">
      <w:lvl w:ilvl="0">
        <w:numFmt w:val="decimal"/>
        <w:lvlText w:val="%1."/>
        <w:lvlJc w:val="left"/>
      </w:lvl>
    </w:lvlOverride>
    <w:lvlOverride w:ilvl="1">
      <w:lvl w:ilvl="1">
        <w:numFmt w:val="lowerLetter"/>
        <w:lvlText w:val="%2."/>
        <w:lvlJc w:val="left"/>
      </w:lvl>
    </w:lvlOverride>
  </w:num>
  <w:num w:numId="17">
    <w:abstractNumId w:val="26"/>
    <w:lvlOverride w:ilvl="0">
      <w:lvl w:ilvl="0">
        <w:numFmt w:val="decimal"/>
        <w:lvlText w:val="%1."/>
        <w:lvlJc w:val="left"/>
      </w:lvl>
    </w:lvlOverride>
    <w:lvlOverride w:ilvl="1">
      <w:lvl w:ilvl="1">
        <w:numFmt w:val="lowerLetter"/>
        <w:lvlText w:val="%2."/>
        <w:lvlJc w:val="left"/>
      </w:lvl>
    </w:lvlOverride>
  </w:num>
  <w:num w:numId="18">
    <w:abstractNumId w:val="1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lvlOverride w:ilvl="2">
      <w:lvl w:ilvl="2">
        <w:numFmt w:val="lowerLetter"/>
        <w:lvlText w:val="%3."/>
        <w:lvlJc w:val="left"/>
      </w:lvl>
    </w:lvlOverride>
  </w:num>
  <w:num w:numId="22">
    <w:abstractNumId w:val="8"/>
  </w:num>
  <w:num w:numId="23">
    <w:abstractNumId w:val="24"/>
  </w:num>
  <w:num w:numId="24">
    <w:abstractNumId w:val="29"/>
  </w:num>
  <w:num w:numId="25">
    <w:abstractNumId w:val="22"/>
  </w:num>
  <w:num w:numId="26">
    <w:abstractNumId w:val="0"/>
  </w:num>
  <w:num w:numId="27">
    <w:abstractNumId w:val="2"/>
  </w:num>
  <w:num w:numId="28">
    <w:abstractNumId w:val="32"/>
  </w:num>
  <w:num w:numId="29">
    <w:abstractNumId w:val="1"/>
  </w:num>
  <w:num w:numId="30">
    <w:abstractNumId w:val="30"/>
  </w:num>
  <w:num w:numId="31">
    <w:abstractNumId w:val="31"/>
  </w:num>
  <w:num w:numId="32">
    <w:abstractNumId w:val="19"/>
  </w:num>
  <w:num w:numId="33">
    <w:abstractNumId w:val="13"/>
  </w:num>
  <w:num w:numId="34">
    <w:abstractNumId w:val="6"/>
  </w:num>
  <w:num w:numId="35">
    <w:abstractNumId w:val="4"/>
  </w:num>
  <w:num w:numId="36">
    <w:abstractNumId w:val="28"/>
  </w:num>
  <w:num w:numId="37">
    <w:abstractNumId w:val="10"/>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A7F6D"/>
    <w:rsid w:val="00122032"/>
    <w:rsid w:val="00173F18"/>
    <w:rsid w:val="003516B1"/>
    <w:rsid w:val="003F372F"/>
    <w:rsid w:val="004470A9"/>
    <w:rsid w:val="004A75EF"/>
    <w:rsid w:val="005A1054"/>
    <w:rsid w:val="00612D67"/>
    <w:rsid w:val="007264A4"/>
    <w:rsid w:val="007B2FA8"/>
    <w:rsid w:val="00C62269"/>
    <w:rsid w:val="00CF5B0E"/>
    <w:rsid w:val="00D755FD"/>
    <w:rsid w:val="00EA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sovrin.org/wp-content/uploads/Steward-Data-Processing-Agreement-V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3cFIX%20LINK%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cFIX%20LINKJ%3e" TargetMode="Externa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10" Type="http://schemas.openxmlformats.org/officeDocument/2006/relationships/hyperlink" Target="%3cFIX%20LINK%3e" TargetMode="External"/><Relationship Id="rId4" Type="http://schemas.openxmlformats.org/officeDocument/2006/relationships/webSettings" Target="webSettings.xml"/><Relationship Id="rId9" Type="http://schemas.openxmlformats.org/officeDocument/2006/relationships/hyperlink" Target="%3cFIX%20LINK%3e" TargetMode="External"/><Relationship Id="rId14" Type="http://schemas.openxmlformats.org/officeDocument/2006/relationships/hyperlink" Target="https://sovrin.org/wp-content/uploads/Transaction-Endorser-Data-Processing-Agreement-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6</cp:revision>
  <dcterms:created xsi:type="dcterms:W3CDTF">2020-02-10T21:56:00Z</dcterms:created>
  <dcterms:modified xsi:type="dcterms:W3CDTF">2020-04-16T15:18:00Z</dcterms:modified>
</cp:coreProperties>
</file>