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MS Mincho" w:hAnsi="MS Mincho" w:eastAsia="ＭＳ 明朝"/>
          <w:b w:val="0"/>
          <w:sz w:val="21"/>
        </w:rPr>
        <w:t>2026年10月19日</w:t>
      </w:r>
    </w:p>
    <w:p>
      <w:pPr>
        <w:jc w:val="center"/>
      </w:pPr>
      <w:r>
        <w:rPr>
          <w:rFonts w:ascii="MS Mincho" w:hAnsi="MS Mincho" w:eastAsia="ＭＳ 明朝"/>
          <w:b/>
          <w:sz w:val="28"/>
        </w:rPr>
        <w:t>現地調査報告書 ～大鳥居・上望陀地区～</w:t>
      </w:r>
    </w:p>
    <w:p>
      <w:pPr>
        <w:jc w:val="right"/>
      </w:pPr>
      <w:r>
        <w:rPr>
          <w:rFonts w:ascii="MS Mincho" w:hAnsi="MS Mincho" w:eastAsia="ＭＳ 明朝"/>
          <w:b w:val="0"/>
          <w:sz w:val="21"/>
        </w:rPr>
        <w:t>合同会社AMAC</w:t>
        <w:br/>
        <w:t>担当：個人スマホ、調査スマホ</w:t>
      </w:r>
    </w:p>
    <w:p>
      <w:r>
        <w:rPr>
          <w:rFonts w:ascii="MS Mincho" w:hAnsi="MS Mincho" w:eastAsia="ＭＳ 明朝"/>
          <w:b w:val="0"/>
          <w:sz w:val="21"/>
        </w:rPr>
        <w:t>鳥獣被害対策支援業務の一環として、大鳥居・上望陀地区における野生鳥獣の生息状況および被害・対策状況を明らかにすることを目的に、現地調査（踏査調査および聞き取り調査）を行ったので、報告する。</w:t>
      </w:r>
    </w:p>
    <w:p>
      <w:r>
        <w:rPr>
          <w:rFonts w:ascii="MS Mincho" w:hAnsi="MS Mincho" w:eastAsia="ＭＳ 明朝"/>
          <w:b/>
          <w:sz w:val="24"/>
        </w:rPr>
        <w:t>方　　　法</w:t>
      </w:r>
    </w:p>
    <w:p>
      <w:r>
        <w:rPr>
          <w:rFonts w:ascii="MS Mincho" w:hAnsi="MS Mincho" w:eastAsia="ＭＳ 明朝"/>
          <w:b w:val="0"/>
          <w:sz w:val="21"/>
        </w:rPr>
        <w:t>・調査日：2026-08-10</w:t>
        <w:br/>
        <w:t>・調査場所：大鳥居・上望陀地区</w:t>
        <w:br/>
        <w:t>・調査方法：対象地域の農地・林縁部・集落周辺における踏査調査（痕跡・防護柵・捕獲わな等の位置情報の緯度・経度および写真の記録）ならびに住民からの聞き取り調査（出没状況、被害状況、対策関連情報の収集）を実施した。</w:t>
      </w:r>
    </w:p>
    <w:p>
      <w:r>
        <w:rPr>
          <w:rFonts w:ascii="MS Mincho" w:hAnsi="MS Mincho" w:eastAsia="ＭＳ 明朝"/>
          <w:b/>
          <w:sz w:val="24"/>
        </w:rPr>
        <w:t>結　　　果</w:t>
      </w:r>
    </w:p>
    <w:p>
      <w:r>
        <w:rPr>
          <w:rFonts w:ascii="MS Mincho" w:hAnsi="MS Mincho" w:eastAsia="ＭＳ 明朝"/>
          <w:b w:val="0"/>
          <w:sz w:val="21"/>
        </w:rPr>
        <w:t>現地調査の結果、大鳥居・上望陀地区において計2地点の調査記録が得られた（図1、表1）。地区別の確認状況は以下の通りである。</w:t>
      </w:r>
    </w:p>
    <w:p>
      <w:r>
        <w:rPr>
          <w:rFonts w:ascii="MS Mincho" w:hAnsi="MS Mincho" w:eastAsia="ＭＳ 明朝"/>
          <w:b w:val="0"/>
          <w:sz w:val="21"/>
        </w:rPr>
        <w:t>【大鳥居地区】</w:t>
        <w:br/>
        <w:t>踏査および現地確認の結果、イノシシを対象とした「囲いわな」（地点番号1）が確認された（図1、表1）。</w:t>
      </w:r>
    </w:p>
    <w:p>
      <w:r>
        <w:rPr>
          <w:rFonts w:ascii="MS Mincho" w:hAnsi="MS Mincho" w:eastAsia="ＭＳ 明朝"/>
          <w:b w:val="0"/>
          <w:sz w:val="21"/>
        </w:rPr>
        <w:t>【上望陀地区】</w:t>
        <w:br/>
        <w:t>踏査および現地確認の結果、イノシシを対象とした「金網柵」（地点番号2）が確認された（図1、表1）。</w:t>
      </w:r>
    </w:p>
    <w:p>
      <w:r>
        <w:rPr>
          <w:rFonts w:ascii="MS Mincho" w:hAnsi="MS Mincho" w:eastAsia="ＭＳ 明朝"/>
          <w:b w:val="0"/>
          <w:sz w:val="21"/>
        </w:rPr>
        <w:t>なお、今回の現地踏査では直接の住民聞き取り記録は得られなかったが、既存の捕獲設備および防護柵の設置状況から、当地域におけるイノシシ等の出没に対する警戒および対策実施の状況が確認できた。</w:t>
      </w:r>
    </w:p>
    <w:p>
      <w:r>
        <w:rPr>
          <w:rFonts w:ascii="MS Mincho" w:hAnsi="MS Mincho" w:eastAsia="ＭＳ 明朝"/>
          <w:b/>
          <w:sz w:val="20"/>
        </w:rPr>
        <w:t>表1　現地調査確認地点一覧</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tcPr>
          <w:p>
            <w:r/>
            <w:r>
              <w:rPr>
                <w:rFonts w:ascii="MS Mincho" w:hAnsi="MS Mincho" w:eastAsia="ＭＳ 明朝"/>
                <w:b/>
                <w:sz w:val="19"/>
              </w:rPr>
              <w:t>地点番号</w:t>
            </w:r>
          </w:p>
        </w:tc>
        <w:tc>
          <w:tcPr>
            <w:tcW w:type="dxa" w:w="1569"/>
          </w:tcPr>
          <w:p>
            <w:r/>
            <w:r>
              <w:rPr>
                <w:rFonts w:ascii="MS Mincho" w:hAnsi="MS Mincho" w:eastAsia="ＭＳ 明朝"/>
                <w:b/>
                <w:sz w:val="19"/>
              </w:rPr>
              <w:t>調査日</w:t>
            </w:r>
          </w:p>
        </w:tc>
        <w:tc>
          <w:tcPr>
            <w:tcW w:type="dxa" w:w="1569"/>
          </w:tcPr>
          <w:p>
            <w:r/>
            <w:r>
              <w:rPr>
                <w:rFonts w:ascii="MS Mincho" w:hAnsi="MS Mincho" w:eastAsia="ＭＳ 明朝"/>
                <w:b/>
                <w:sz w:val="19"/>
              </w:rPr>
              <w:t>地区(集落)</w:t>
            </w:r>
          </w:p>
        </w:tc>
        <w:tc>
          <w:tcPr>
            <w:tcW w:type="dxa" w:w="1569"/>
          </w:tcPr>
          <w:p>
            <w:r/>
            <w:r>
              <w:rPr>
                <w:rFonts w:ascii="MS Mincho" w:hAnsi="MS Mincho" w:eastAsia="ＭＳ 明朝"/>
                <w:b/>
                <w:sz w:val="19"/>
              </w:rPr>
              <w:t>地点分類</w:t>
            </w:r>
          </w:p>
        </w:tc>
        <w:tc>
          <w:tcPr>
            <w:tcW w:type="dxa" w:w="1569"/>
          </w:tcPr>
          <w:p>
            <w:r/>
            <w:r>
              <w:rPr>
                <w:rFonts w:ascii="MS Mincho" w:hAnsi="MS Mincho" w:eastAsia="ＭＳ 明朝"/>
                <w:b/>
                <w:sz w:val="19"/>
              </w:rPr>
              <w:t>種名</w:t>
            </w:r>
          </w:p>
        </w:tc>
        <w:tc>
          <w:tcPr>
            <w:tcW w:type="dxa" w:w="1569"/>
          </w:tcPr>
          <w:p>
            <w:r/>
            <w:r>
              <w:rPr>
                <w:rFonts w:ascii="MS Mincho" w:hAnsi="MS Mincho" w:eastAsia="ＭＳ 明朝"/>
                <w:b/>
                <w:sz w:val="19"/>
              </w:rPr>
              <w:t>情報詳細・聞き取り</w:t>
            </w:r>
          </w:p>
        </w:tc>
      </w:tr>
      <w:tr>
        <w:tc>
          <w:tcPr>
            <w:tcW w:type="dxa" w:w="1569"/>
          </w:tcPr>
          <w:p>
            <w:r/>
            <w:r>
              <w:rPr>
                <w:rFonts w:ascii="MS Mincho" w:hAnsi="MS Mincho" w:eastAsia="ＭＳ 明朝"/>
                <w:b w:val="0"/>
                <w:sz w:val="19"/>
              </w:rPr>
              <w:t>1</w:t>
            </w:r>
          </w:p>
        </w:tc>
        <w:tc>
          <w:tcPr>
            <w:tcW w:type="dxa" w:w="1569"/>
          </w:tcPr>
          <w:p>
            <w:r/>
            <w:r>
              <w:rPr>
                <w:rFonts w:ascii="MS Mincho" w:hAnsi="MS Mincho" w:eastAsia="ＭＳ 明朝"/>
                <w:b w:val="0"/>
                <w:sz w:val="19"/>
              </w:rPr>
              <w:t>2026-08-10</w:t>
            </w:r>
          </w:p>
        </w:tc>
        <w:tc>
          <w:tcPr>
            <w:tcW w:type="dxa" w:w="1569"/>
          </w:tcPr>
          <w:p>
            <w:r/>
            <w:r>
              <w:rPr>
                <w:rFonts w:ascii="MS Mincho" w:hAnsi="MS Mincho" w:eastAsia="ＭＳ 明朝"/>
                <w:b w:val="0"/>
                <w:sz w:val="19"/>
              </w:rPr>
              <w:t>大鳥居</w:t>
            </w:r>
          </w:p>
        </w:tc>
        <w:tc>
          <w:tcPr>
            <w:tcW w:type="dxa" w:w="1569"/>
          </w:tcPr>
          <w:p>
            <w:r/>
            <w:r>
              <w:rPr>
                <w:rFonts w:ascii="MS Mincho" w:hAnsi="MS Mincho" w:eastAsia="ＭＳ 明朝"/>
                <w:b w:val="0"/>
                <w:sz w:val="19"/>
              </w:rPr>
              <w:t>囲いわな</w:t>
            </w:r>
          </w:p>
        </w:tc>
        <w:tc>
          <w:tcPr>
            <w:tcW w:type="dxa" w:w="1569"/>
          </w:tcPr>
          <w:p>
            <w:r/>
            <w:r>
              <w:rPr>
                <w:rFonts w:ascii="MS Mincho" w:hAnsi="MS Mincho" w:eastAsia="ＭＳ 明朝"/>
                <w:b w:val="0"/>
                <w:sz w:val="19"/>
              </w:rPr>
              <w:t>イノシシ</w:t>
            </w:r>
          </w:p>
        </w:tc>
        <w:tc>
          <w:tcPr>
            <w:tcW w:type="dxa" w:w="1569"/>
          </w:tcPr>
          <w:p>
            <w:r/>
            <w:r>
              <w:rPr>
                <w:rFonts w:ascii="MS Mincho" w:hAnsi="MS Mincho" w:eastAsia="ＭＳ 明朝"/>
                <w:b w:val="0"/>
                <w:sz w:val="19"/>
              </w:rPr>
              <w:t>―</w:t>
            </w:r>
          </w:p>
        </w:tc>
      </w:tr>
      <w:tr>
        <w:tc>
          <w:tcPr>
            <w:tcW w:type="dxa" w:w="1569"/>
          </w:tcPr>
          <w:p>
            <w:r/>
            <w:r>
              <w:rPr>
                <w:rFonts w:ascii="MS Mincho" w:hAnsi="MS Mincho" w:eastAsia="ＭＳ 明朝"/>
                <w:b w:val="0"/>
                <w:sz w:val="19"/>
              </w:rPr>
              <w:t>2</w:t>
            </w:r>
          </w:p>
        </w:tc>
        <w:tc>
          <w:tcPr>
            <w:tcW w:type="dxa" w:w="1569"/>
          </w:tcPr>
          <w:p>
            <w:r/>
            <w:r>
              <w:rPr>
                <w:rFonts w:ascii="MS Mincho" w:hAnsi="MS Mincho" w:eastAsia="ＭＳ 明朝"/>
                <w:b w:val="0"/>
                <w:sz w:val="19"/>
              </w:rPr>
              <w:t>2026-08-10</w:t>
            </w:r>
          </w:p>
        </w:tc>
        <w:tc>
          <w:tcPr>
            <w:tcW w:type="dxa" w:w="1569"/>
          </w:tcPr>
          <w:p>
            <w:r/>
            <w:r>
              <w:rPr>
                <w:rFonts w:ascii="MS Mincho" w:hAnsi="MS Mincho" w:eastAsia="ＭＳ 明朝"/>
                <w:b w:val="0"/>
                <w:sz w:val="19"/>
              </w:rPr>
              <w:t>上望陀</w:t>
            </w:r>
          </w:p>
        </w:tc>
        <w:tc>
          <w:tcPr>
            <w:tcW w:type="dxa" w:w="1569"/>
          </w:tcPr>
          <w:p>
            <w:r/>
            <w:r>
              <w:rPr>
                <w:rFonts w:ascii="MS Mincho" w:hAnsi="MS Mincho" w:eastAsia="ＭＳ 明朝"/>
                <w:b w:val="0"/>
                <w:sz w:val="19"/>
              </w:rPr>
              <w:t>金網柵</w:t>
            </w:r>
          </w:p>
        </w:tc>
        <w:tc>
          <w:tcPr>
            <w:tcW w:type="dxa" w:w="1569"/>
          </w:tcPr>
          <w:p>
            <w:r/>
            <w:r>
              <w:rPr>
                <w:rFonts w:ascii="MS Mincho" w:hAnsi="MS Mincho" w:eastAsia="ＭＳ 明朝"/>
                <w:b w:val="0"/>
                <w:sz w:val="19"/>
              </w:rPr>
              <w:t>イノシシ</w:t>
            </w:r>
          </w:p>
        </w:tc>
        <w:tc>
          <w:tcPr>
            <w:tcW w:type="dxa" w:w="1569"/>
          </w:tcPr>
          <w:p>
            <w:r/>
            <w:r>
              <w:rPr>
                <w:rFonts w:ascii="MS Mincho" w:hAnsi="MS Mincho" w:eastAsia="ＭＳ 明朝"/>
                <w:b w:val="0"/>
                <w:sz w:val="19"/>
              </w:rPr>
              <w:t>―</w:t>
            </w:r>
          </w:p>
        </w:tc>
      </w:tr>
    </w:tbl>
    <w:p>
      <w:r>
        <w:rPr>
          <w:rFonts w:ascii="MS Mincho" w:hAnsi="MS Mincho" w:eastAsia="ＭＳ 明朝"/>
          <w:b/>
          <w:sz w:val="24"/>
        </w:rPr>
        <w:t>考　　　察</w:t>
      </w:r>
    </w:p>
    <w:p>
      <w:r>
        <w:rPr>
          <w:rFonts w:ascii="MS Mincho" w:hAnsi="MS Mincho" w:eastAsia="ＭＳ 明朝"/>
          <w:b w:val="0"/>
          <w:sz w:val="21"/>
        </w:rPr>
        <w:t>1. 現状の解釈</w:t>
        <w:br/>
        <w:t>今回の調査結果から、大鳥居・上望陀地区においてはイノシシ等に対する捕獲わな（囲いわな等）や防護柵（金網柵等）が設置されており、対象獣種が農地・集落周辺へ恒常的に出没・定着しているステージにあると推測された（図1、表1）。</w:t>
      </w:r>
    </w:p>
    <w:p>
      <w:r>
        <w:rPr>
          <w:rFonts w:ascii="MS Mincho" w:hAnsi="MS Mincho" w:eastAsia="ＭＳ 明朝"/>
          <w:b w:val="0"/>
          <w:sz w:val="21"/>
        </w:rPr>
        <w:t>2. リスク評価</w:t>
        <w:br/>
        <w:t>防護柵の破損や管理不足、あるいは捕獲わなの稼働状況に隙間が生じた場合、農作物被害の再発・拡大や住宅周辺への出没リスクが高まることが考えられた。特に林縁部や谷津田周辺の獣道・潜み場と隣接する箇所では継続的な点検が不可欠であると判断できた。</w:t>
      </w:r>
    </w:p>
    <w:p>
      <w:r>
        <w:rPr>
          <w:rFonts w:ascii="MS Mincho" w:hAnsi="MS Mincho" w:eastAsia="ＭＳ 明朝"/>
          <w:b w:val="0"/>
          <w:sz w:val="21"/>
        </w:rPr>
        <w:t>3. 今後の課題と対策提案</w:t>
        <w:br/>
        <w:t>今後は対策の3本柱（捕獲・防護・環境整備）に基づき、（1）既設の囲いわな・箱わな等の誘引・稼働状況の最適化による捕獲圧の維持、（2）金網柵・電気柵等の隙間や破損箇所の定期点検と適切な維持管理の徹底、（3）集落環境診断会や対策講習会を通じた地域住民への情報共有と集落ぐるみの防護体制の強化を進めることが重要であると考えられた。</w:t>
      </w:r>
    </w:p>
    <w:p>
      <w:pPr>
        <w:jc w:val="right"/>
      </w:pPr>
      <w:r>
        <w:rPr>
          <w:rFonts w:ascii="MS Mincho" w:hAnsi="MS Mincho" w:eastAsia="ＭＳ 明朝"/>
          <w:b w:val="0"/>
          <w:sz w:val="21"/>
        </w:rPr>
        <w:t>以上</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