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6.xml" ContentType="application/vnd.openxmlformats-officedocument.wordprocessingml.header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keepLines/>
        <w:jc w:val="center"/>
        <w:rPr>
          <w:rFonts w:eastAsia="Calibri"/>
          <w:b/>
          <w:sz w:val="26"/>
          <w:szCs w:val="26"/>
        </w:rPr>
      </w:pPr>
      <w:r>
        <w:rPr>
          <w:rFonts w:eastAsia="Calibri"/>
          <w:b/>
          <w:sz w:val="26"/>
          <w:szCs w:val="26"/>
        </w:rPr>
        <w:t xml:space="preserve"> </w:t>
      </w:r>
    </w:p>
    <w:p>
      <w:pPr>
        <w:pStyle w:val="Normal"/>
        <w:keepNext w:val="true"/>
        <w:keepLines/>
        <w:jc w:val="center"/>
        <w:rPr>
          <w:rFonts w:eastAsia="Calibri"/>
          <w:b/>
          <w:sz w:val="26"/>
          <w:szCs w:val="26"/>
        </w:rPr>
      </w:pPr>
      <w:r>
        <w:rPr>
          <w:rFonts w:eastAsia="Calibri"/>
          <w:b/>
          <w:sz w:val="26"/>
          <w:szCs w:val="26"/>
        </w:rPr>
      </w:r>
    </w:p>
    <w:p>
      <w:pPr>
        <w:pStyle w:val="Normal"/>
        <w:keepNext w:val="true"/>
        <w:keepLines/>
        <w:jc w:val="center"/>
        <w:rPr>
          <w:rFonts w:eastAsia="Calibri"/>
          <w:b/>
          <w:sz w:val="26"/>
          <w:szCs w:val="26"/>
        </w:rPr>
      </w:pPr>
      <w:r>
        <w:rPr>
          <w:rFonts w:eastAsia="Calibri"/>
          <w:b/>
          <w:sz w:val="26"/>
          <w:szCs w:val="26"/>
        </w:rPr>
      </w:r>
    </w:p>
    <w:p>
      <w:pPr>
        <w:pStyle w:val="Normal"/>
        <w:keepNext w:val="true"/>
        <w:keepLines/>
        <w:jc w:val="center"/>
        <w:rPr>
          <w:rFonts w:eastAsia="Calibri"/>
          <w:b/>
          <w:sz w:val="26"/>
          <w:szCs w:val="26"/>
        </w:rPr>
      </w:pPr>
      <w:r>
        <w:rPr>
          <w:rFonts w:eastAsia="Calibri"/>
          <w:b/>
          <w:sz w:val="26"/>
          <w:szCs w:val="26"/>
        </w:rPr>
      </w:r>
    </w:p>
    <w:p>
      <w:pPr>
        <w:pStyle w:val="Normal"/>
        <w:keepNext w:val="true"/>
        <w:keepLines/>
        <w:jc w:val="center"/>
        <w:rPr>
          <w:rFonts w:eastAsia="Calibri"/>
          <w:b/>
          <w:sz w:val="26"/>
          <w:szCs w:val="26"/>
        </w:rPr>
      </w:pPr>
      <w:r>
        <w:rPr>
          <w:rFonts w:eastAsia="Calibri"/>
          <w:b/>
          <w:sz w:val="26"/>
          <w:szCs w:val="26"/>
        </w:rPr>
      </w:r>
    </w:p>
    <w:p>
      <w:pPr>
        <w:pStyle w:val="Normal"/>
        <w:keepNext w:val="true"/>
        <w:keepLines/>
        <w:jc w:val="center"/>
        <w:rPr>
          <w:rFonts w:eastAsia="Calibri"/>
          <w:b/>
          <w:sz w:val="26"/>
          <w:szCs w:val="26"/>
        </w:rPr>
      </w:pPr>
      <w:r>
        <w:rPr>
          <w:rFonts w:eastAsia="Calibri"/>
          <w:b/>
          <w:sz w:val="26"/>
          <w:szCs w:val="26"/>
        </w:rPr>
      </w:r>
    </w:p>
    <w:p>
      <w:pPr>
        <w:pStyle w:val="Normal"/>
        <w:keepNext w:val="true"/>
        <w:keepLines/>
        <w:jc w:val="center"/>
        <w:rPr>
          <w:rFonts w:eastAsia="Calibri"/>
          <w:b/>
          <w:sz w:val="26"/>
          <w:szCs w:val="26"/>
        </w:rPr>
      </w:pPr>
      <w:r>
        <w:rPr>
          <w:rFonts w:eastAsia="Calibri"/>
          <w:b/>
          <w:sz w:val="26"/>
          <w:szCs w:val="26"/>
        </w:rPr>
      </w:r>
    </w:p>
    <w:p>
      <w:pPr>
        <w:pStyle w:val="Normal"/>
        <w:keepNext w:val="true"/>
        <w:keepLines/>
        <w:jc w:val="center"/>
        <w:rPr>
          <w:rFonts w:eastAsia="Calibri"/>
          <w:b/>
          <w:sz w:val="26"/>
          <w:szCs w:val="26"/>
        </w:rPr>
      </w:pPr>
      <w:r>
        <w:rPr>
          <w:rFonts w:eastAsia="Calibri"/>
          <w:b/>
          <w:sz w:val="26"/>
          <w:szCs w:val="26"/>
        </w:rPr>
      </w:r>
    </w:p>
    <w:p>
      <w:pPr>
        <w:pStyle w:val="Normal"/>
        <w:keepNext w:val="true"/>
        <w:keepLines/>
        <w:jc w:val="center"/>
        <w:rPr>
          <w:rFonts w:eastAsia="Calibri"/>
          <w:b/>
          <w:sz w:val="26"/>
          <w:szCs w:val="26"/>
        </w:rPr>
      </w:pPr>
      <w:r>
        <w:rPr>
          <w:rFonts w:eastAsia="Calibri"/>
          <w:b/>
          <w:sz w:val="26"/>
          <w:szCs w:val="26"/>
        </w:rPr>
      </w:r>
    </w:p>
    <w:p>
      <w:pPr>
        <w:pStyle w:val="Normal"/>
        <w:keepNext w:val="true"/>
        <w:keepLines/>
        <w:jc w:val="center"/>
        <w:rPr>
          <w:rFonts w:eastAsia="Calibri"/>
          <w:b/>
          <w:sz w:val="26"/>
          <w:szCs w:val="26"/>
        </w:rPr>
      </w:pPr>
      <w:r>
        <w:rPr>
          <w:rFonts w:eastAsia="Calibri"/>
          <w:b/>
          <w:sz w:val="26"/>
          <w:szCs w:val="26"/>
        </w:rPr>
      </w:r>
    </w:p>
    <w:p>
      <w:pPr>
        <w:pStyle w:val="Normal"/>
        <w:keepNext w:val="true"/>
        <w:keepLines/>
        <w:jc w:val="center"/>
        <w:rPr>
          <w:rFonts w:eastAsia="Calibri"/>
          <w:b/>
          <w:sz w:val="26"/>
          <w:szCs w:val="26"/>
        </w:rPr>
      </w:pPr>
      <w:r>
        <w:rPr>
          <w:rFonts w:eastAsia="Calibri"/>
          <w:b/>
          <w:sz w:val="26"/>
          <w:szCs w:val="26"/>
        </w:rPr>
      </w:r>
    </w:p>
    <w:p>
      <w:pPr>
        <w:pStyle w:val="Normal"/>
        <w:keepNext w:val="true"/>
        <w:keepLines/>
        <w:jc w:val="center"/>
        <w:rPr>
          <w:rFonts w:eastAsia="Calibri"/>
          <w:b/>
          <w:sz w:val="26"/>
          <w:szCs w:val="26"/>
        </w:rPr>
      </w:pPr>
      <w:r>
        <w:rPr>
          <w:rFonts w:eastAsia="Calibri"/>
          <w:b/>
          <w:sz w:val="26"/>
          <w:szCs w:val="26"/>
        </w:rPr>
      </w:r>
    </w:p>
    <w:p>
      <w:pPr>
        <w:pStyle w:val="Normal"/>
        <w:keepNext w:val="true"/>
        <w:keepLines/>
        <w:jc w:val="center"/>
        <w:rPr>
          <w:rFonts w:eastAsia="Calibri"/>
          <w:b/>
          <w:sz w:val="26"/>
          <w:szCs w:val="26"/>
        </w:rPr>
      </w:pPr>
      <w:r>
        <w:rPr>
          <w:rFonts w:eastAsia="Calibri"/>
          <w:b/>
          <w:sz w:val="26"/>
          <w:szCs w:val="26"/>
        </w:rPr>
      </w:r>
    </w:p>
    <w:p>
      <w:pPr>
        <w:pStyle w:val="Normal"/>
        <w:keepNext w:val="true"/>
        <w:keepLines/>
        <w:jc w:val="center"/>
        <w:rPr>
          <w:rFonts w:eastAsia="Calibri"/>
          <w:b/>
          <w:sz w:val="26"/>
          <w:szCs w:val="26"/>
        </w:rPr>
      </w:pPr>
      <w:r>
        <w:rPr>
          <w:rFonts w:eastAsia="Calibri"/>
          <w:b/>
          <w:sz w:val="26"/>
          <w:szCs w:val="26"/>
        </w:rPr>
      </w:r>
    </w:p>
    <w:p>
      <w:pPr>
        <w:pStyle w:val="Normal"/>
        <w:keepNext w:val="true"/>
        <w:keepLines/>
        <w:jc w:val="center"/>
        <w:rPr>
          <w:rFonts w:eastAsia="Calibri"/>
          <w:b/>
          <w:sz w:val="26"/>
          <w:szCs w:val="26"/>
        </w:rPr>
      </w:pPr>
      <w:r>
        <w:rPr>
          <w:rFonts w:eastAsia="Calibri"/>
          <w:b/>
          <w:sz w:val="26"/>
          <w:szCs w:val="26"/>
        </w:rPr>
      </w:r>
    </w:p>
    <w:p>
      <w:pPr>
        <w:pStyle w:val="Normal"/>
        <w:keepNext w:val="true"/>
        <w:keepLines/>
        <w:jc w:val="center"/>
        <w:rPr>
          <w:rFonts w:eastAsia="Calibri"/>
          <w:b/>
          <w:sz w:val="26"/>
          <w:szCs w:val="26"/>
        </w:rPr>
      </w:pPr>
      <w:r>
        <w:rPr>
          <w:rFonts w:eastAsia="Calibri"/>
          <w:b/>
          <w:sz w:val="26"/>
          <w:szCs w:val="26"/>
        </w:rPr>
        <w:t xml:space="preserve">Технические требования </w:t>
      </w:r>
      <w:bookmarkStart w:id="0" w:name="_Hlk122948554"/>
      <w:bookmarkEnd w:id="0"/>
    </w:p>
    <w:p>
      <w:pPr>
        <w:pStyle w:val="Normal"/>
        <w:jc w:val="center"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t>ОКПД2 10.82.22 Поставка детских новогодних подарков для нужд АО "Усть-СреднеканГЭСстрой"</w:t>
      </w:r>
    </w:p>
    <w:p>
      <w:pPr>
        <w:pStyle w:val="Normal"/>
        <w:jc w:val="center"/>
        <w:rPr>
          <w:rFonts w:eastAsia="Calibri"/>
          <w:b/>
          <w:sz w:val="26"/>
          <w:szCs w:val="26"/>
        </w:rPr>
      </w:pPr>
      <w:r>
        <w:rPr>
          <w:rFonts w:eastAsia="Calibri"/>
          <w:b/>
          <w:sz w:val="26"/>
          <w:szCs w:val="26"/>
        </w:rPr>
        <w:t xml:space="preserve">Лот №0047-КС ПИР СМР-2026-УСГС                                               </w:t>
      </w:r>
    </w:p>
    <w:p>
      <w:pPr>
        <w:pStyle w:val="Normal"/>
        <w:keepNext w:val="true"/>
        <w:keepLines/>
        <w:rPr>
          <w:rFonts w:eastAsia="Calibri"/>
          <w:b/>
          <w:sz w:val="26"/>
          <w:szCs w:val="26"/>
        </w:rPr>
      </w:pPr>
      <w:r>
        <w:rPr>
          <w:rFonts w:eastAsia="Calibri"/>
          <w:b/>
          <w:sz w:val="26"/>
          <w:szCs w:val="26"/>
        </w:rPr>
      </w:r>
    </w:p>
    <w:p>
      <w:pPr>
        <w:pStyle w:val="Normal"/>
        <w:keepNext w:val="true"/>
        <w:keepLines/>
        <w:jc w:val="center"/>
        <w:rPr>
          <w:rFonts w:eastAsia="Calibri"/>
          <w:b/>
          <w:i/>
          <w:sz w:val="26"/>
          <w:szCs w:val="26"/>
        </w:rPr>
      </w:pPr>
      <w:r>
        <w:rPr>
          <w:rFonts w:eastAsia="Calibri"/>
          <w:b/>
          <w:i/>
          <w:sz w:val="26"/>
          <w:szCs w:val="26"/>
        </w:rPr>
      </w:r>
    </w:p>
    <w:p>
      <w:pPr>
        <w:pStyle w:val="Normal"/>
        <w:keepNext w:val="true"/>
        <w:keepLines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  <w:r>
        <w:br w:type="page"/>
      </w:r>
    </w:p>
    <w:p>
      <w:pPr>
        <w:pStyle w:val="Normal"/>
        <w:spacing w:before="0" w:after="0"/>
        <w:jc w:val="center"/>
        <w:rPr>
          <w:b/>
        </w:rPr>
      </w:pPr>
      <w:r>
        <w:rPr>
          <w:b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8"/>
              <w:tab w:val="right" w:pos="9920" w:leader="dot"/>
            </w:tabs>
            <w:rPr/>
          </w:pPr>
          <w:r>
            <w:fldChar w:fldCharType="begin"/>
          </w:r>
          <w:r>
            <w:rPr>
              <w:rStyle w:val="Style19"/>
            </w:rPr>
            <w:instrText xml:space="preserve"> TOC \o "1-4" \h</w:instrText>
          </w:r>
          <w:r>
            <w:rPr>
              <w:rStyle w:val="Style19"/>
            </w:rPr>
            <w:fldChar w:fldCharType="separate"/>
          </w:r>
          <w:hyperlink w:anchor="__RefHeading___Toc11230_1074701108" w:tooltip="Общие сведения">
            <w:r>
              <w:rPr>
                <w:rStyle w:val="Style19"/>
              </w:rPr>
              <w:t>1. Общие сведения</w:t>
              <w:tab/>
              <w:t>3</w:t>
            </w:r>
          </w:hyperlink>
        </w:p>
        <w:p>
          <w:pPr>
            <w:pStyle w:val="TOC4"/>
            <w:tabs>
              <w:tab w:val="clear" w:pos="708"/>
              <w:tab w:val="right" w:pos="9920" w:leader="dot"/>
            </w:tabs>
            <w:rPr/>
          </w:pPr>
          <w:hyperlink w:anchor="__RefHeading___Toc11232_1074701108" w:tooltip="Обозначения и сокращения">
            <w:r>
              <w:rPr>
                <w:rStyle w:val="Style19"/>
              </w:rPr>
              <w:t>1.1. Обозначения и сокращения</w:t>
              <w:tab/>
              <w:t>3</w:t>
            </w:r>
          </w:hyperlink>
        </w:p>
        <w:p>
          <w:pPr>
            <w:pStyle w:val="TOC4"/>
            <w:tabs>
              <w:tab w:val="clear" w:pos="708"/>
              <w:tab w:val="right" w:pos="9920" w:leader="dot"/>
            </w:tabs>
            <w:rPr/>
          </w:pPr>
          <w:hyperlink w:anchor="__RefHeading___Toc11234_1074701108" w:tooltip="Наименование закупаемой продукции">
            <w:r>
              <w:rPr>
                <w:rStyle w:val="Style19"/>
              </w:rPr>
              <w:t>1.2. Наименование закупаемой продукции</w:t>
              <w:tab/>
              <w:t>3</w:t>
            </w:r>
          </w:hyperlink>
        </w:p>
        <w:p>
          <w:pPr>
            <w:pStyle w:val="TOC4"/>
            <w:tabs>
              <w:tab w:val="clear" w:pos="708"/>
              <w:tab w:val="right" w:pos="9920" w:leader="dot"/>
            </w:tabs>
            <w:rPr/>
          </w:pPr>
          <w:hyperlink w:anchor="__RefHeading___Toc11236_1074701108" w:tooltip="Цель использования закупаемой продукции">
            <w:r>
              <w:rPr>
                <w:rStyle w:val="Style19"/>
              </w:rPr>
              <w:t>1.3. Цель использования закупаемой продукции</w:t>
              <w:tab/>
              <w:t>3</w:t>
            </w:r>
          </w:hyperlink>
        </w:p>
        <w:p>
          <w:pPr>
            <w:pStyle w:val="TOC4"/>
            <w:tabs>
              <w:tab w:val="clear" w:pos="708"/>
              <w:tab w:val="right" w:pos="9920" w:leader="dot"/>
            </w:tabs>
            <w:rPr/>
          </w:pPr>
          <w:hyperlink w:anchor="__RefHeading___Toc11238_1074701108" w:tooltip="Существующее положение">
            <w:r>
              <w:rPr>
                <w:rStyle w:val="Style19"/>
              </w:rPr>
              <w:t>1.4. Существующее положение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920" w:leader="dot"/>
            </w:tabs>
            <w:rPr/>
          </w:pPr>
          <w:hyperlink w:anchor="__RefHeading___Toc11240_1074701108" w:tooltip="Требования к продукции">
            <w:r>
              <w:rPr>
                <w:rStyle w:val="Style19"/>
              </w:rPr>
              <w:t xml:space="preserve">2. </w:t>
            </w:r>
            <w:r>
              <w:rPr>
                <w:rStyle w:val="Style19"/>
                <w:iCs/>
              </w:rPr>
              <w:t>Требования к продукции</w:t>
            </w:r>
            <w:r>
              <w:rPr>
                <w:rStyle w:val="Style19"/>
              </w:rPr>
              <w:tab/>
              <w:t>4</w:t>
            </w:r>
          </w:hyperlink>
        </w:p>
        <w:p>
          <w:pPr>
            <w:pStyle w:val="TOC4"/>
            <w:tabs>
              <w:tab w:val="clear" w:pos="708"/>
              <w:tab w:val="right" w:pos="9920" w:leader="dot"/>
            </w:tabs>
            <w:rPr/>
          </w:pPr>
          <w:hyperlink w:anchor="__RefHeading___Toc11242_1074701108" w:tooltip="Требования к объемам и срокам поставки">
            <w:r>
              <w:rPr>
                <w:rStyle w:val="Style19"/>
              </w:rPr>
              <w:t>2.1. Требования к объемам и срокам поставки</w:t>
              <w:tab/>
              <w:t>4</w:t>
            </w:r>
          </w:hyperlink>
        </w:p>
        <w:p>
          <w:pPr>
            <w:pStyle w:val="TOC3"/>
            <w:tabs>
              <w:tab w:val="clear" w:pos="708"/>
              <w:tab w:val="right" w:pos="9920" w:leader="dot"/>
            </w:tabs>
            <w:rPr/>
          </w:pPr>
          <w:hyperlink w:anchor="__RefHeading___Toc11244_1074701108" w:tooltip="Перечень и объем закупаемой продукции">
            <w:r>
              <w:rPr>
                <w:rStyle w:val="Style19"/>
              </w:rPr>
              <w:t>2.1.1. Перечень и объем закупаемой продукции</w:t>
              <w:tab/>
              <w:t>4</w:t>
            </w:r>
          </w:hyperlink>
        </w:p>
        <w:p>
          <w:pPr>
            <w:pStyle w:val="TOC1"/>
            <w:tabs>
              <w:tab w:val="clear" w:pos="708"/>
              <w:tab w:val="right" w:pos="9920" w:leader="dot"/>
            </w:tabs>
            <w:rPr/>
          </w:pPr>
          <w:hyperlink w:anchor="__RefHeading___Toc11246_1074701108" w:tooltip="Таблица 1.1 Перечень и объем закупаемой продукции">
            <w:r>
              <w:rPr>
                <w:rStyle w:val="Style19"/>
              </w:rPr>
              <w:t>Таблица 1.1 Перечень и объем закупаемой продукции</w:t>
              <w:tab/>
              <w:t>4</w:t>
            </w:r>
          </w:hyperlink>
        </w:p>
        <w:p>
          <w:pPr>
            <w:pStyle w:val="TOC3"/>
            <w:tabs>
              <w:tab w:val="clear" w:pos="708"/>
              <w:tab w:val="right" w:pos="9920" w:leader="dot"/>
            </w:tabs>
            <w:rPr/>
          </w:pPr>
          <w:hyperlink w:anchor="__RefHeading___Toc11248_1074701108" w:tooltip="Требования к срокам поставки продукции">
            <w:r>
              <w:rPr>
                <w:rStyle w:val="Style19"/>
              </w:rPr>
              <w:t>2.1.2. Требования к срокам поставки продукции</w:t>
              <w:tab/>
              <w:t>4</w:t>
            </w:r>
          </w:hyperlink>
        </w:p>
        <w:p>
          <w:pPr>
            <w:pStyle w:val="TOC1"/>
            <w:tabs>
              <w:tab w:val="clear" w:pos="708"/>
              <w:tab w:val="right" w:pos="9920" w:leader="dot"/>
            </w:tabs>
            <w:rPr/>
          </w:pPr>
          <w:hyperlink w:anchor="__RefHeading___Toc11250_1074701108" w:tooltip="Таблица 2.1 Требования по срокам поставки продукции">
            <w:r>
              <w:rPr>
                <w:rStyle w:val="Style19"/>
              </w:rPr>
              <w:t>Таблица 2.1 Требования по срокам поставки продукции</w:t>
              <w:tab/>
              <w:t>4</w:t>
            </w:r>
          </w:hyperlink>
        </w:p>
        <w:p>
          <w:pPr>
            <w:pStyle w:val="TOC4"/>
            <w:tabs>
              <w:tab w:val="clear" w:pos="708"/>
              <w:tab w:val="right" w:pos="9920" w:leader="dot"/>
            </w:tabs>
            <w:rPr/>
          </w:pPr>
          <w:hyperlink w:anchor="__RefHeading___Toc11252_1074701108" w:tooltip="2. 2. Понятие эквивалента">
            <w:r>
              <w:rPr>
                <w:rStyle w:val="Style19"/>
              </w:rPr>
              <w:t>2. 2. Понятие эквивалента</w:t>
              <w:tab/>
              <w:t>4</w:t>
            </w:r>
          </w:hyperlink>
        </w:p>
        <w:p>
          <w:pPr>
            <w:pStyle w:val="TOC4"/>
            <w:tabs>
              <w:tab w:val="clear" w:pos="708"/>
              <w:tab w:val="right" w:pos="9920" w:leader="dot"/>
            </w:tabs>
            <w:rPr/>
          </w:pPr>
          <w:hyperlink w:anchor="__RefHeading___Toc11254_1074701108" w:tooltip="Требования к качеству продукции">
            <w:r>
              <w:rPr>
                <w:rStyle w:val="Style19"/>
              </w:rPr>
              <w:t>2.2. Требования к качеству продукции</w:t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9920" w:leader="dot"/>
            </w:tabs>
            <w:rPr/>
          </w:pPr>
          <w:hyperlink w:anchor="__RefHeading___Toc11256_1074701108" w:tooltip="Таблица 3 Требования к продукции">
            <w:r>
              <w:rPr>
                <w:rStyle w:val="Style19"/>
              </w:rPr>
              <w:t>Таблица 3 Требования к продукции</w:t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9920" w:leader="dot"/>
            </w:tabs>
            <w:rPr/>
          </w:pPr>
          <w:hyperlink w:anchor="__RefHeading___Toc11262_1074701108" w:tooltip="Требования к документации по ценообразованию на этапе закупки">
            <w:r>
              <w:rPr>
                <w:rStyle w:val="Style19"/>
              </w:rPr>
              <w:t>3. Требования к документации по ценообразованию на этапе закупки</w:t>
              <w:tab/>
              <w:t>17</w:t>
            </w:r>
          </w:hyperlink>
          <w:r>
            <w:rPr>
              <w:rStyle w:val="Style19"/>
            </w:rPr>
            <w:fldChar w:fldCharType="end"/>
          </w:r>
        </w:p>
      </w:sdtContent>
    </w:sdt>
    <w:p>
      <w:pPr>
        <w:pStyle w:val="Heading2"/>
        <w:tabs>
          <w:tab w:val="clear" w:pos="0"/>
        </w:tabs>
        <w:ind w:hanging="0" w:start="0" w:end="0"/>
        <w:rPr>
          <w:i/>
        </w:rPr>
      </w:pPr>
      <w:r>
        <w:rPr>
          <w:i/>
        </w:rPr>
      </w:r>
    </w:p>
    <w:p>
      <w:pPr>
        <w:pStyle w:val="Normal"/>
        <w:rPr>
          <w:rFonts w:eastAsia="Calibri"/>
        </w:rPr>
      </w:pPr>
      <w:r>
        <w:rPr>
          <w:rFonts w:eastAsia="Calibri"/>
        </w:rPr>
      </w:r>
      <w:r>
        <w:br w:type="page"/>
      </w:r>
    </w:p>
    <w:p>
      <w:pPr>
        <w:pStyle w:val="Heading1"/>
        <w:keepLines/>
        <w:numPr>
          <w:ilvl w:val="0"/>
          <w:numId w:val="3"/>
        </w:numPr>
        <w:spacing w:before="0" w:after="60"/>
        <w:ind w:hanging="357" w:start="357" w:end="0"/>
        <w:jc w:val="center"/>
        <w:rPr>
          <w:lang w:val="ru-RU"/>
        </w:rPr>
      </w:pPr>
      <w:bookmarkStart w:id="1" w:name="__RefHeading___Toc11230_1074701108"/>
      <w:bookmarkStart w:id="2" w:name="_Toc51339692"/>
      <w:bookmarkStart w:id="3" w:name="_Toc125991542"/>
      <w:bookmarkEnd w:id="1"/>
      <w:r>
        <w:rPr>
          <w:lang w:val="ru-RU"/>
        </w:rPr>
        <w:t>Общие сведения</w:t>
      </w:r>
      <w:bookmarkEnd w:id="2"/>
      <w:bookmarkEnd w:id="3"/>
    </w:p>
    <w:p>
      <w:pPr>
        <w:pStyle w:val="Heading4"/>
        <w:numPr>
          <w:ilvl w:val="1"/>
          <w:numId w:val="3"/>
        </w:numPr>
        <w:ind w:hanging="432" w:start="432" w:end="0"/>
        <w:jc w:val="both"/>
        <w:rPr>
          <w:lang w:val="ru-RU"/>
        </w:rPr>
      </w:pPr>
      <w:bookmarkStart w:id="4" w:name="__RefHeading___Toc11232_1074701108"/>
      <w:bookmarkEnd w:id="4"/>
      <w:r>
        <w:rPr>
          <w:lang w:val="ru-RU"/>
        </w:rPr>
        <w:t>Обозначения и сокращения</w:t>
      </w:r>
    </w:p>
    <w:tbl>
      <w:tblPr>
        <w:tblW w:w="978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85"/>
        <w:gridCol w:w="7998"/>
      </w:tblGrid>
      <w:tr>
        <w:trPr>
          <w:cantSplit w:val="true"/>
        </w:trPr>
        <w:tc>
          <w:tcPr>
            <w:tcW w:w="1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120" w:after="120"/>
              <w:jc w:val="both"/>
              <w:rPr>
                <w:i/>
                <w:iCs/>
                <w:color w:val="000000"/>
                <w:sz w:val="23"/>
                <w:szCs w:val="23"/>
              </w:rPr>
            </w:pPr>
            <w:r>
              <w:rPr>
                <w:i/>
                <w:iCs/>
                <w:color w:val="000000"/>
                <w:sz w:val="23"/>
                <w:szCs w:val="23"/>
              </w:rPr>
            </w:r>
          </w:p>
        </w:tc>
        <w:tc>
          <w:tcPr>
            <w:tcW w:w="7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120" w:after="120"/>
              <w:jc w:val="both"/>
              <w:rPr>
                <w:i/>
                <w:iCs/>
                <w:color w:val="000000"/>
                <w:sz w:val="23"/>
                <w:szCs w:val="23"/>
              </w:rPr>
            </w:pPr>
            <w:r>
              <w:rPr>
                <w:i/>
                <w:iCs/>
                <w:color w:val="000000"/>
                <w:sz w:val="23"/>
                <w:szCs w:val="23"/>
              </w:rPr>
              <w:t>АО</w:t>
            </w:r>
          </w:p>
        </w:tc>
      </w:tr>
      <w:tr>
        <w:trPr>
          <w:cantSplit w:val="true"/>
        </w:trPr>
        <w:tc>
          <w:tcPr>
            <w:tcW w:w="1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120" w:after="120"/>
              <w:jc w:val="both"/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Акционерное общество</w:t>
            </w:r>
          </w:p>
        </w:tc>
        <w:tc>
          <w:tcPr>
            <w:tcW w:w="7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120" w:after="120"/>
              <w:jc w:val="both"/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Акционерное общество</w:t>
            </w:r>
          </w:p>
        </w:tc>
      </w:tr>
    </w:tbl>
    <w:p>
      <w:pPr>
        <w:pStyle w:val="Normal"/>
        <w:rPr>
          <w:lang w:eastAsia="x-none"/>
        </w:rPr>
      </w:pPr>
      <w:r>
        <w:rPr>
          <w:lang w:eastAsia="x-none"/>
        </w:rPr>
      </w:r>
    </w:p>
    <w:p>
      <w:pPr>
        <w:pStyle w:val="Heading4"/>
        <w:numPr>
          <w:ilvl w:val="1"/>
          <w:numId w:val="3"/>
        </w:numPr>
        <w:ind w:hanging="432" w:start="432" w:end="0"/>
        <w:jc w:val="both"/>
        <w:rPr/>
      </w:pPr>
      <w:bookmarkStart w:id="5" w:name="__RefHeading___Toc11234_1074701108"/>
      <w:bookmarkStart w:id="6" w:name="_Toc46743506"/>
      <w:bookmarkStart w:id="7" w:name="_Toc125991543"/>
      <w:bookmarkEnd w:id="5"/>
      <w:r>
        <w:rPr/>
        <w:t>Наименование закупаемой продукции</w:t>
      </w:r>
      <w:bookmarkEnd w:id="6"/>
      <w:bookmarkEnd w:id="7"/>
    </w:p>
    <w:p>
      <w:pPr>
        <w:pStyle w:val="Normal"/>
        <w:jc w:val="both"/>
        <w:rPr>
          <w:rFonts w:eastAsia="Calibri"/>
          <w:bCs/>
          <w:i/>
          <w:iCs/>
          <w:sz w:val="24"/>
          <w:szCs w:val="24"/>
        </w:rPr>
      </w:pPr>
      <w:bookmarkStart w:id="8" w:name="_Toc125991544"/>
      <w:r>
        <w:rPr>
          <w:rFonts w:eastAsia="Calibri"/>
          <w:bCs/>
          <w:i/>
          <w:iCs/>
          <w:sz w:val="24"/>
          <w:szCs w:val="24"/>
        </w:rPr>
        <w:t xml:space="preserve">ОКПД2 10.82.22 Поставка детских новогодних подарков для нужд </w:t>
      </w:r>
      <w:r>
        <w:rPr>
          <w:bCs/>
          <w:i/>
          <w:iCs/>
          <w:sz w:val="24"/>
          <w:szCs w:val="24"/>
        </w:rPr>
        <w:t>АО "Усть-СреднеканГЭСстрой"</w:t>
      </w:r>
    </w:p>
    <w:p>
      <w:pPr>
        <w:pStyle w:val="Heading4"/>
        <w:numPr>
          <w:ilvl w:val="1"/>
          <w:numId w:val="3"/>
        </w:numPr>
        <w:spacing w:before="240" w:after="60"/>
        <w:ind w:hanging="431" w:start="431" w:end="0"/>
        <w:jc w:val="both"/>
        <w:rPr>
          <w:lang w:val="ru-RU"/>
        </w:rPr>
      </w:pPr>
      <w:bookmarkStart w:id="9" w:name="__RefHeading___Toc11236_1074701108"/>
      <w:bookmarkStart w:id="10" w:name="_Toc46743507"/>
      <w:bookmarkEnd w:id="9"/>
      <w:r>
        <w:rPr/>
        <w:t xml:space="preserve">Цель </w:t>
      </w:r>
      <w:bookmarkEnd w:id="10"/>
      <w:r>
        <w:rPr>
          <w:lang w:val="ru-RU"/>
        </w:rPr>
        <w:t>использования закупаемой продукции</w:t>
      </w:r>
      <w:bookmarkEnd w:id="8"/>
      <w:r>
        <w:rPr>
          <w:lang w:val="ru-RU"/>
        </w:rPr>
        <w:t xml:space="preserve"> </w:t>
      </w:r>
    </w:p>
    <w:p>
      <w:pPr>
        <w:pStyle w:val="Normal"/>
        <w:tabs>
          <w:tab w:val="clear" w:pos="708"/>
          <w:tab w:val="left" w:pos="567" w:leader="none"/>
        </w:tabs>
        <w:jc w:val="both"/>
        <w:rPr>
          <w:bCs/>
          <w:i/>
          <w:iCs/>
          <w:sz w:val="24"/>
          <w:szCs w:val="24"/>
        </w:rPr>
      </w:pPr>
      <w:r>
        <w:rPr>
          <w:bCs/>
          <w:i/>
          <w:iCs/>
          <w:sz w:val="24"/>
          <w:szCs w:val="24"/>
        </w:rPr>
        <w:t xml:space="preserve">Основной целью и задачей является поставка детских новогодних подарков (подарочных наборов) для нужд АО "Усть-СреднеканГЭСстрой" </w:t>
      </w:r>
      <w:r>
        <w:rPr>
          <w:rFonts w:eastAsia="Calibri"/>
          <w:bCs/>
          <w:i/>
          <w:iCs/>
          <w:sz w:val="24"/>
          <w:szCs w:val="24"/>
        </w:rPr>
        <w:t>в соответствии с пунктом 7.4.1 коллективного договора АО «Усть-СреднеканГЭСстрой» на 2026-2028 годы.</w:t>
      </w:r>
    </w:p>
    <w:p>
      <w:pPr>
        <w:pStyle w:val="Normal"/>
        <w:tabs>
          <w:tab w:val="clear" w:pos="708"/>
          <w:tab w:val="left" w:pos="567" w:leader="none"/>
        </w:tabs>
        <w:jc w:val="both"/>
        <w:rPr>
          <w:bCs/>
          <w:i/>
          <w:iCs/>
          <w:sz w:val="24"/>
          <w:szCs w:val="24"/>
        </w:rPr>
      </w:pPr>
      <w:r>
        <w:rPr>
          <w:bCs/>
          <w:i/>
          <w:iCs/>
          <w:sz w:val="24"/>
          <w:szCs w:val="24"/>
        </w:rPr>
      </w:r>
    </w:p>
    <w:p>
      <w:pPr>
        <w:pStyle w:val="Heading4"/>
        <w:numPr>
          <w:ilvl w:val="1"/>
          <w:numId w:val="3"/>
        </w:numPr>
        <w:ind w:hanging="432" w:start="432" w:end="0"/>
        <w:jc w:val="both"/>
        <w:rPr/>
      </w:pPr>
      <w:bookmarkStart w:id="11" w:name="__RefHeading___Toc11238_1074701108"/>
      <w:bookmarkStart w:id="12" w:name="_Toc125991545"/>
      <w:bookmarkStart w:id="13" w:name="_Toc46743508"/>
      <w:bookmarkEnd w:id="11"/>
      <w:r>
        <w:rPr/>
        <w:t>Существующее положение</w:t>
      </w:r>
      <w:bookmarkEnd w:id="12"/>
      <w:bookmarkEnd w:id="13"/>
    </w:p>
    <w:p>
      <w:pPr>
        <w:pStyle w:val="Normal"/>
        <w:tabs>
          <w:tab w:val="clear" w:pos="708"/>
          <w:tab w:val="left" w:pos="567" w:leader="none"/>
        </w:tabs>
        <w:ind w:firstLine="567" w:start="0" w:end="0"/>
        <w:jc w:val="both"/>
        <w:rPr>
          <w:bCs/>
          <w:i/>
          <w:iCs/>
          <w:sz w:val="24"/>
          <w:szCs w:val="24"/>
        </w:rPr>
      </w:pPr>
      <w:bookmarkStart w:id="14" w:name="_Toc50125126"/>
      <w:bookmarkStart w:id="15" w:name="_Toc46743510"/>
      <w:bookmarkEnd w:id="14"/>
      <w:bookmarkEnd w:id="15"/>
      <w:r>
        <w:rPr>
          <w:bCs/>
          <w:i/>
          <w:iCs/>
          <w:sz w:val="24"/>
          <w:szCs w:val="24"/>
        </w:rPr>
        <w:t>Поставка Товара осуществляется для собственных нужд АО «Усть-СреднеканГЭСстрой»</w:t>
      </w:r>
    </w:p>
    <w:p>
      <w:pPr>
        <w:pStyle w:val="Normal"/>
        <w:jc w:val="both"/>
        <w:rPr>
          <w:rFonts w:eastAsia="Sylfaen"/>
          <w:i/>
          <w:iCs/>
          <w:color w:val="FF0000"/>
          <w:sz w:val="22"/>
          <w:szCs w:val="22"/>
        </w:rPr>
      </w:pPr>
      <w:r>
        <w:rPr>
          <w:rFonts w:eastAsia="Sylfaen"/>
          <w:i/>
          <w:iCs/>
          <w:color w:val="FF0000"/>
          <w:sz w:val="22"/>
          <w:szCs w:val="22"/>
        </w:rPr>
      </w:r>
    </w:p>
    <w:p>
      <w:pPr>
        <w:pStyle w:val="Normal"/>
        <w:rPr>
          <w:i/>
          <w:iCs/>
          <w:sz w:val="24"/>
          <w:szCs w:val="24"/>
          <w:lang w:eastAsia="x-none"/>
        </w:rPr>
      </w:pPr>
      <w:r>
        <w:rPr>
          <w:i/>
          <w:iCs/>
          <w:sz w:val="24"/>
          <w:szCs w:val="24"/>
          <w:lang w:eastAsia="x-none"/>
        </w:rPr>
      </w:r>
    </w:p>
    <w:p>
      <w:pPr>
        <w:pStyle w:val="Normal"/>
        <w:widowControl w:val="false"/>
        <w:tabs>
          <w:tab w:val="clear" w:pos="708"/>
          <w:tab w:val="left" w:pos="426" w:leader="none"/>
        </w:tabs>
        <w:spacing w:before="120" w:after="240"/>
        <w:jc w:val="both"/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</w:r>
    </w:p>
    <w:p>
      <w:pPr>
        <w:pStyle w:val="Normal"/>
        <w:widowControl w:val="false"/>
        <w:tabs>
          <w:tab w:val="clear" w:pos="708"/>
          <w:tab w:val="left" w:pos="426" w:leader="none"/>
        </w:tabs>
        <w:spacing w:before="120" w:after="240"/>
        <w:jc w:val="both"/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</w:r>
    </w:p>
    <w:p>
      <w:pPr>
        <w:pStyle w:val="Normal"/>
        <w:widowControl w:val="false"/>
        <w:tabs>
          <w:tab w:val="clear" w:pos="708"/>
          <w:tab w:val="left" w:pos="426" w:leader="none"/>
        </w:tabs>
        <w:spacing w:before="120" w:after="2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widowControl w:val="false"/>
        <w:tabs>
          <w:tab w:val="clear" w:pos="708"/>
          <w:tab w:val="left" w:pos="426" w:leader="none"/>
        </w:tabs>
        <w:spacing w:before="120" w:after="2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widowControl w:val="false"/>
        <w:tabs>
          <w:tab w:val="clear" w:pos="708"/>
          <w:tab w:val="left" w:pos="426" w:leader="none"/>
        </w:tabs>
        <w:spacing w:before="120" w:after="2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widowControl w:val="false"/>
        <w:tabs>
          <w:tab w:val="clear" w:pos="708"/>
          <w:tab w:val="left" w:pos="426" w:leader="none"/>
        </w:tabs>
        <w:spacing w:before="120" w:after="2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widowControl w:val="false"/>
        <w:tabs>
          <w:tab w:val="clear" w:pos="708"/>
          <w:tab w:val="left" w:pos="426" w:leader="none"/>
        </w:tabs>
        <w:spacing w:before="120" w:after="2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widowControl w:val="false"/>
        <w:tabs>
          <w:tab w:val="clear" w:pos="708"/>
          <w:tab w:val="left" w:pos="426" w:leader="none"/>
        </w:tabs>
        <w:spacing w:before="120" w:after="2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widowControl w:val="false"/>
        <w:tabs>
          <w:tab w:val="clear" w:pos="708"/>
          <w:tab w:val="left" w:pos="426" w:leader="none"/>
        </w:tabs>
        <w:spacing w:before="120" w:after="2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widowControl w:val="false"/>
        <w:tabs>
          <w:tab w:val="clear" w:pos="708"/>
          <w:tab w:val="left" w:pos="426" w:leader="none"/>
        </w:tabs>
        <w:spacing w:before="120" w:after="2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widowControl w:val="false"/>
        <w:tabs>
          <w:tab w:val="clear" w:pos="708"/>
          <w:tab w:val="left" w:pos="426" w:leader="none"/>
        </w:tabs>
        <w:spacing w:before="120" w:after="2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widowControl w:val="false"/>
        <w:tabs>
          <w:tab w:val="clear" w:pos="708"/>
          <w:tab w:val="left" w:pos="426" w:leader="none"/>
        </w:tabs>
        <w:spacing w:before="120" w:after="2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widowControl w:val="false"/>
        <w:tabs>
          <w:tab w:val="clear" w:pos="708"/>
          <w:tab w:val="left" w:pos="426" w:leader="none"/>
        </w:tabs>
        <w:spacing w:before="120" w:after="2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widowControl w:val="false"/>
        <w:tabs>
          <w:tab w:val="clear" w:pos="708"/>
          <w:tab w:val="left" w:pos="426" w:leader="none"/>
        </w:tabs>
        <w:spacing w:before="120" w:after="2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widowControl w:val="false"/>
        <w:tabs>
          <w:tab w:val="clear" w:pos="708"/>
          <w:tab w:val="left" w:pos="426" w:leader="none"/>
        </w:tabs>
        <w:spacing w:before="120" w:after="2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Heading1"/>
        <w:keepLines/>
        <w:numPr>
          <w:ilvl w:val="0"/>
          <w:numId w:val="3"/>
        </w:numPr>
        <w:ind w:hanging="357" w:start="357" w:end="0"/>
        <w:jc w:val="center"/>
        <w:rPr>
          <w:iCs/>
          <w:caps/>
          <w:lang w:val="ru-RU"/>
        </w:rPr>
      </w:pPr>
      <w:bookmarkStart w:id="16" w:name="__RefHeading___Toc11240_1074701108"/>
      <w:bookmarkStart w:id="17" w:name="_Toc51339693"/>
      <w:bookmarkStart w:id="18" w:name="_Toc125991546"/>
      <w:bookmarkEnd w:id="16"/>
      <w:r>
        <w:rPr>
          <w:iCs/>
        </w:rPr>
        <w:t>Требования к продукции</w:t>
      </w:r>
      <w:bookmarkEnd w:id="17"/>
      <w:bookmarkEnd w:id="18"/>
    </w:p>
    <w:p>
      <w:pPr>
        <w:pStyle w:val="Heading4"/>
        <w:numPr>
          <w:ilvl w:val="1"/>
          <w:numId w:val="3"/>
        </w:numPr>
        <w:ind w:hanging="432" w:start="432" w:end="0"/>
        <w:rPr/>
      </w:pPr>
      <w:bookmarkStart w:id="19" w:name="__RefHeading___Toc11242_1074701108"/>
      <w:bookmarkStart w:id="20" w:name="_Toc125991547"/>
      <w:bookmarkEnd w:id="19"/>
      <w:r>
        <w:rPr/>
        <w:t xml:space="preserve">Требования к объемам и срокам </w:t>
      </w:r>
      <w:r>
        <w:rPr>
          <w:lang w:val="ru-RU"/>
        </w:rPr>
        <w:t>поставки</w:t>
      </w:r>
      <w:bookmarkEnd w:id="20"/>
    </w:p>
    <w:p>
      <w:pPr>
        <w:pStyle w:val="Heading3"/>
        <w:numPr>
          <w:ilvl w:val="2"/>
          <w:numId w:val="3"/>
        </w:numPr>
        <w:ind w:hanging="504" w:start="1224" w:end="0"/>
        <w:rPr>
          <w:lang w:val="ru-RU"/>
        </w:rPr>
      </w:pPr>
      <w:bookmarkStart w:id="21" w:name="__RefHeading___Toc11244_1074701108"/>
      <w:bookmarkStart w:id="22" w:name="_Toc125991548"/>
      <w:bookmarkEnd w:id="21"/>
      <w:r>
        <w:rPr>
          <w:lang w:val="ru-RU"/>
        </w:rPr>
        <w:t>Перечень и объем закупаемой продукции</w:t>
      </w:r>
      <w:bookmarkEnd w:id="22"/>
    </w:p>
    <w:p>
      <w:pPr>
        <w:pStyle w:val="Heading1"/>
        <w:keepLines/>
        <w:tabs>
          <w:tab w:val="clear" w:pos="0"/>
        </w:tabs>
        <w:spacing w:before="240" w:after="60"/>
        <w:ind w:hanging="0" w:start="0" w:end="0"/>
        <w:rPr>
          <w:sz w:val="24"/>
          <w:szCs w:val="24"/>
          <w:lang w:val="ru-RU"/>
        </w:rPr>
      </w:pPr>
      <w:bookmarkStart w:id="23" w:name="__RefHeading___Toc11246_1074701108"/>
      <w:bookmarkStart w:id="24" w:name="_Toc125991549"/>
      <w:bookmarkStart w:id="25" w:name="_Toc51339695"/>
      <w:bookmarkEnd w:id="23"/>
      <w:r>
        <w:rPr>
          <w:sz w:val="24"/>
          <w:szCs w:val="24"/>
        </w:rPr>
        <w:t xml:space="preserve">Таблица </w:t>
      </w:r>
      <w:r>
        <w:rPr>
          <w:sz w:val="24"/>
          <w:szCs w:val="24"/>
          <w:lang w:val="ru-RU"/>
        </w:rPr>
        <w:t xml:space="preserve">1.1 Перечень </w:t>
      </w:r>
      <w:bookmarkEnd w:id="25"/>
      <w:r>
        <w:rPr>
          <w:sz w:val="24"/>
          <w:szCs w:val="24"/>
          <w:lang w:val="ru-RU"/>
        </w:rPr>
        <w:t>и объем закупаемой продукции</w:t>
      </w:r>
      <w:bookmarkEnd w:id="24"/>
    </w:p>
    <w:p>
      <w:pPr>
        <w:pStyle w:val="Normal"/>
        <w:rPr>
          <w:lang w:eastAsia="x-none"/>
        </w:rPr>
      </w:pPr>
      <w:r>
        <w:rPr>
          <w:lang w:eastAsia="x-none"/>
        </w:rPr>
      </w:r>
    </w:p>
    <w:tbl>
      <w:tblPr>
        <w:tblW w:w="9781" w:type="dxa"/>
        <w:jc w:val="start"/>
        <w:tblInd w:w="-26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48"/>
        <w:gridCol w:w="4542"/>
        <w:gridCol w:w="2410"/>
        <w:gridCol w:w="1981"/>
      </w:tblGrid>
      <w:tr>
        <w:trPr>
          <w:trHeight w:val="311" w:hRule="atLeast"/>
        </w:trPr>
        <w:tc>
          <w:tcPr>
            <w:tcW w:w="84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widowControl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keepNext w:val="true"/>
              <w:widowControl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454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widowControl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Наименование продукции</w:t>
            </w:r>
          </w:p>
        </w:tc>
        <w:tc>
          <w:tcPr>
            <w:tcW w:w="241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widowControl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Единица измерения</w:t>
            </w:r>
          </w:p>
        </w:tc>
        <w:tc>
          <w:tcPr>
            <w:tcW w:w="198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widowControl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Количество*</w:t>
            </w:r>
          </w:p>
        </w:tc>
      </w:tr>
      <w:tr>
        <w:trPr>
          <w:trHeight w:val="322" w:hRule="atLeast"/>
        </w:trPr>
        <w:tc>
          <w:tcPr>
            <w:tcW w:w="84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454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41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</w:p>
        </w:tc>
        <w:tc>
          <w:tcPr>
            <w:tcW w:w="4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</w:t>
            </w:r>
          </w:p>
        </w:tc>
        <w:tc>
          <w:tcPr>
            <w:tcW w:w="1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</w:t>
            </w:r>
          </w:p>
        </w:tc>
      </w:tr>
      <w:tr>
        <w:trPr>
          <w:trHeight w:val="866" w:hRule="atLeast"/>
        </w:trPr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4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567" w:leader="none"/>
              </w:tabs>
              <w:jc w:val="both"/>
              <w:rPr>
                <w:b/>
                <w:bCs/>
                <w:i w:val="false"/>
                <w:iCs w:val="false"/>
              </w:rPr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>Детский новогодний подарок (подарочный набор) в составе: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Cs/>
                <w:i w:val="false"/>
                <w:iCs w:val="false"/>
              </w:rPr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>шт.</w:t>
            </w:r>
          </w:p>
        </w:tc>
        <w:tc>
          <w:tcPr>
            <w:tcW w:w="1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Cs/>
                <w:i w:val="false"/>
                <w:iCs w:val="false"/>
              </w:rPr>
            </w:pPr>
            <w:r>
              <w:rPr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>2230</w:t>
            </w:r>
          </w:p>
        </w:tc>
      </w:tr>
      <w:tr>
        <w:trPr>
          <w:trHeight w:val="866" w:hRule="atLeast"/>
        </w:trPr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1.1</w:t>
            </w:r>
          </w:p>
        </w:tc>
        <w:tc>
          <w:tcPr>
            <w:tcW w:w="4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567" w:leader="none"/>
              </w:tabs>
              <w:jc w:val="both"/>
              <w:rPr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Внешняя упаковка ОКПД2 17.21.13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шт.</w:t>
            </w:r>
          </w:p>
        </w:tc>
        <w:tc>
          <w:tcPr>
            <w:tcW w:w="1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2230</w:t>
            </w:r>
          </w:p>
        </w:tc>
      </w:tr>
      <w:tr>
        <w:trPr>
          <w:trHeight w:val="866" w:hRule="atLeast"/>
        </w:trPr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1,2</w:t>
            </w:r>
          </w:p>
        </w:tc>
        <w:tc>
          <w:tcPr>
            <w:tcW w:w="4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567" w:leader="none"/>
              </w:tabs>
              <w:jc w:val="both"/>
              <w:rPr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Кондитерский набор в индивидуальной упаковке ОКПД2 10.82.22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шт.</w:t>
            </w:r>
          </w:p>
        </w:tc>
        <w:tc>
          <w:tcPr>
            <w:tcW w:w="1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2230</w:t>
            </w:r>
          </w:p>
        </w:tc>
      </w:tr>
      <w:tr>
        <w:trPr>
          <w:trHeight w:val="866" w:hRule="atLeast"/>
        </w:trPr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1.3</w:t>
            </w:r>
          </w:p>
        </w:tc>
        <w:tc>
          <w:tcPr>
            <w:tcW w:w="4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567" w:leader="none"/>
              </w:tabs>
              <w:jc w:val="both"/>
              <w:rPr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Мягкая игрушка «Бобёр-строитель» ОКПД2 32.40.39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шт.</w:t>
            </w:r>
          </w:p>
        </w:tc>
        <w:tc>
          <w:tcPr>
            <w:tcW w:w="1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2230</w:t>
            </w:r>
          </w:p>
        </w:tc>
      </w:tr>
      <w:tr>
        <w:trPr>
          <w:trHeight w:val="866" w:hRule="atLeast"/>
        </w:trPr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1.4</w:t>
            </w:r>
          </w:p>
        </w:tc>
        <w:tc>
          <w:tcPr>
            <w:tcW w:w="4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567" w:leader="none"/>
              </w:tabs>
              <w:jc w:val="both"/>
              <w:rPr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3Д ручка ОКПД2 32.99.13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шт.</w:t>
            </w:r>
          </w:p>
        </w:tc>
        <w:tc>
          <w:tcPr>
            <w:tcW w:w="1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2230</w:t>
            </w:r>
          </w:p>
        </w:tc>
      </w:tr>
      <w:tr>
        <w:trPr>
          <w:trHeight w:val="866" w:hRule="atLeast"/>
        </w:trPr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1.5</w:t>
            </w:r>
          </w:p>
        </w:tc>
        <w:tc>
          <w:tcPr>
            <w:tcW w:w="4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567" w:leader="none"/>
              </w:tabs>
              <w:jc w:val="both"/>
              <w:rPr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Набор безопасного PCL-пластика для 3D-ручек, 20 цветов, 100 м, низкотемпературный ОКПД2 20.16.59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шт.</w:t>
            </w:r>
          </w:p>
        </w:tc>
        <w:tc>
          <w:tcPr>
            <w:tcW w:w="1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2230</w:t>
            </w:r>
          </w:p>
        </w:tc>
      </w:tr>
      <w:tr>
        <w:trPr>
          <w:trHeight w:val="866" w:hRule="atLeast"/>
        </w:trPr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1.6</w:t>
            </w:r>
          </w:p>
        </w:tc>
        <w:tc>
          <w:tcPr>
            <w:tcW w:w="4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567" w:leader="none"/>
              </w:tabs>
              <w:jc w:val="both"/>
              <w:rPr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Ночник ОКПД2 27.40.22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шт.</w:t>
            </w:r>
          </w:p>
        </w:tc>
        <w:tc>
          <w:tcPr>
            <w:tcW w:w="1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2230</w:t>
            </w:r>
          </w:p>
        </w:tc>
      </w:tr>
    </w:tbl>
    <w:p>
      <w:pPr>
        <w:pStyle w:val="Normal"/>
        <w:rPr>
          <w:i/>
          <w:iCs/>
          <w:sz w:val="20"/>
          <w:szCs w:val="20"/>
          <w:lang w:eastAsia="x-none"/>
        </w:rPr>
      </w:pPr>
      <w:r>
        <w:rPr>
          <w:i/>
          <w:iCs/>
          <w:sz w:val="20"/>
          <w:szCs w:val="20"/>
          <w:lang w:eastAsia="x-none"/>
        </w:rPr>
      </w:r>
    </w:p>
    <w:p>
      <w:pPr>
        <w:pStyle w:val="Normal"/>
        <w:jc w:val="both"/>
        <w:rPr>
          <w:i/>
          <w:iCs/>
          <w:sz w:val="20"/>
          <w:szCs w:val="20"/>
          <w:lang w:eastAsia="x-none"/>
        </w:rPr>
      </w:pPr>
      <w:r>
        <w:rPr>
          <w:i/>
          <w:iCs/>
          <w:sz w:val="20"/>
          <w:szCs w:val="20"/>
          <w:lang w:eastAsia="x-none"/>
        </w:rPr>
      </w:r>
    </w:p>
    <w:p>
      <w:pPr>
        <w:pStyle w:val="Normal"/>
        <w:rPr>
          <w:i/>
          <w:iCs/>
          <w:sz w:val="20"/>
          <w:szCs w:val="20"/>
          <w:lang w:eastAsia="x-none"/>
        </w:rPr>
      </w:pPr>
      <w:r>
        <w:rPr>
          <w:i/>
          <w:iCs/>
          <w:sz w:val="20"/>
          <w:szCs w:val="20"/>
          <w:lang w:eastAsia="x-none"/>
        </w:rPr>
      </w:r>
    </w:p>
    <w:p>
      <w:pPr>
        <w:pStyle w:val="Heading3"/>
        <w:numPr>
          <w:ilvl w:val="2"/>
          <w:numId w:val="3"/>
        </w:numPr>
        <w:ind w:hanging="504" w:start="1224" w:end="0"/>
        <w:rPr>
          <w:lang w:val="ru-RU"/>
        </w:rPr>
      </w:pPr>
      <w:bookmarkStart w:id="26" w:name="__RefHeading___Toc11248_1074701108"/>
      <w:bookmarkStart w:id="27" w:name="_Toc120722010"/>
      <w:bookmarkStart w:id="28" w:name="_Toc125991550"/>
      <w:bookmarkStart w:id="29" w:name="_Toc51339696"/>
      <w:bookmarkEnd w:id="26"/>
      <w:r>
        <w:rPr>
          <w:lang w:val="ru-RU"/>
        </w:rPr>
        <w:t xml:space="preserve">Требования </w:t>
      </w:r>
      <w:bookmarkEnd w:id="29"/>
      <w:r>
        <w:rPr>
          <w:lang w:val="ru-RU"/>
        </w:rPr>
        <w:t>к срокам поставки продукции</w:t>
      </w:r>
      <w:bookmarkEnd w:id="28"/>
      <w:r>
        <w:rPr>
          <w:lang w:val="ru-RU"/>
        </w:rPr>
        <w:t xml:space="preserve"> </w:t>
      </w:r>
      <w:bookmarkEnd w:id="27"/>
    </w:p>
    <w:p>
      <w:pPr>
        <w:pStyle w:val="Heading1"/>
        <w:keepLines/>
        <w:tabs>
          <w:tab w:val="clear" w:pos="0"/>
        </w:tabs>
        <w:spacing w:before="240" w:after="60"/>
        <w:ind w:hanging="0" w:start="0" w:end="0"/>
        <w:rPr>
          <w:sz w:val="24"/>
          <w:szCs w:val="24"/>
          <w:lang w:val="ru-RU"/>
        </w:rPr>
      </w:pPr>
      <w:bookmarkStart w:id="30" w:name="__RefHeading___Toc11250_1074701108"/>
      <w:bookmarkStart w:id="31" w:name="_Toc125991551"/>
      <w:bookmarkStart w:id="32" w:name="_Toc51339697"/>
      <w:bookmarkStart w:id="33" w:name="_Toc50125127"/>
      <w:bookmarkStart w:id="34" w:name="_Toc50125126_Копия_1"/>
      <w:bookmarkEnd w:id="30"/>
      <w:bookmarkEnd w:id="34"/>
      <w:r>
        <w:rPr>
          <w:sz w:val="24"/>
          <w:szCs w:val="24"/>
        </w:rPr>
        <w:t xml:space="preserve">Таблица </w:t>
      </w:r>
      <w:r>
        <w:rPr>
          <w:sz w:val="24"/>
          <w:szCs w:val="24"/>
          <w:lang w:val="ru-RU"/>
        </w:rPr>
        <w:t>2</w:t>
      </w:r>
      <w:r>
        <w:rPr>
          <w:sz w:val="24"/>
          <w:szCs w:val="24"/>
        </w:rPr>
        <w:t>.</w:t>
      </w:r>
      <w:r>
        <w:rPr>
          <w:sz w:val="24"/>
          <w:szCs w:val="24"/>
          <w:lang w:val="ru-RU"/>
        </w:rPr>
        <w:t>1</w:t>
      </w:r>
      <w:r>
        <w:rPr>
          <w:sz w:val="24"/>
          <w:szCs w:val="24"/>
        </w:rPr>
        <w:t xml:space="preserve"> </w:t>
      </w:r>
      <w:bookmarkStart w:id="35" w:name="_Hlk50465284"/>
      <w:r>
        <w:rPr>
          <w:sz w:val="24"/>
          <w:szCs w:val="24"/>
        </w:rPr>
        <w:t xml:space="preserve">Требования по срокам </w:t>
      </w:r>
      <w:bookmarkEnd w:id="32"/>
      <w:bookmarkEnd w:id="33"/>
      <w:bookmarkEnd w:id="35"/>
      <w:r>
        <w:rPr>
          <w:sz w:val="24"/>
          <w:szCs w:val="24"/>
          <w:lang w:val="ru-RU"/>
        </w:rPr>
        <w:t>поставки продукции</w:t>
      </w:r>
      <w:bookmarkEnd w:id="31"/>
      <w:r>
        <w:rPr>
          <w:sz w:val="24"/>
          <w:szCs w:val="24"/>
          <w:lang w:val="ru-RU"/>
        </w:rPr>
        <w:t xml:space="preserve"> </w:t>
      </w:r>
    </w:p>
    <w:tbl>
      <w:tblPr>
        <w:tblW w:w="9841" w:type="dxa"/>
        <w:jc w:val="start"/>
        <w:tblInd w:w="-22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23"/>
        <w:gridCol w:w="3147"/>
        <w:gridCol w:w="2429"/>
        <w:gridCol w:w="3142"/>
      </w:tblGrid>
      <w:tr>
        <w:trPr>
          <w:trHeight w:val="887" w:hRule="atLeast"/>
        </w:trPr>
        <w:tc>
          <w:tcPr>
            <w:tcW w:w="1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 </w:t>
            </w:r>
            <w:r>
              <w:rPr>
                <w:sz w:val="24"/>
                <w:szCs w:val="24"/>
              </w:rPr>
              <w:t>п/п</w:t>
            </w:r>
          </w:p>
        </w:tc>
        <w:tc>
          <w:tcPr>
            <w:tcW w:w="3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продукции / партии продукции</w:t>
            </w:r>
          </w:p>
        </w:tc>
        <w:tc>
          <w:tcPr>
            <w:tcW w:w="2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Требования к началу срока поставки продукции</w:t>
            </w:r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Требования к окончанию срока поставки продукции*</w:t>
            </w:r>
          </w:p>
        </w:tc>
      </w:tr>
      <w:tr>
        <w:trPr>
          <w:trHeight w:val="380" w:hRule="atLeast"/>
        </w:trPr>
        <w:tc>
          <w:tcPr>
            <w:tcW w:w="1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3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2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3"/>
              <w:keepNext w:val="false"/>
              <w:widowControl w:val="false"/>
              <w:spacing w:before="40" w:after="4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3"/>
              <w:keepNext w:val="false"/>
              <w:widowControl w:val="false"/>
              <w:spacing w:before="40" w:after="4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</w:tr>
      <w:tr>
        <w:trPr>
          <w:trHeight w:val="887" w:hRule="atLeast"/>
        </w:trPr>
        <w:tc>
          <w:tcPr>
            <w:tcW w:w="1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 w:val="false"/>
              <w:numPr>
                <w:ilvl w:val="0"/>
                <w:numId w:val="7"/>
              </w:numPr>
              <w:ind w:hanging="360" w:start="360" w:end="0"/>
              <w:jc w:val="center"/>
              <w:rPr/>
            </w:pPr>
            <w:r>
              <w:rPr/>
            </w:r>
          </w:p>
        </w:tc>
        <w:tc>
          <w:tcPr>
            <w:tcW w:w="3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567" w:leader="none"/>
              </w:tabs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ОКПД2 10.82.22 Поставка детских новогодних подарков для нужд АО "Усть-СреднеканГЭСстрой"</w:t>
            </w:r>
          </w:p>
        </w:tc>
        <w:tc>
          <w:tcPr>
            <w:tcW w:w="2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С даты </w:t>
            </w:r>
            <w:r>
              <w:rPr>
                <w:i/>
                <w:iCs/>
                <w:color w:val="000000"/>
                <w:sz w:val="24"/>
                <w:szCs w:val="24"/>
              </w:rPr>
              <w:t>заключения</w:t>
            </w:r>
            <w:r>
              <w:rPr>
                <w:i/>
                <w:iCs/>
                <w:sz w:val="24"/>
                <w:szCs w:val="24"/>
              </w:rPr>
              <w:t xml:space="preserve"> договора</w:t>
            </w:r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 течение 35 (тридцати пяти) календарных дней с даты заключения договора</w:t>
            </w:r>
          </w:p>
        </w:tc>
      </w:tr>
    </w:tbl>
    <w:p>
      <w:pPr>
        <w:pStyle w:val="Normal"/>
        <w:jc w:val="both"/>
        <w:rPr>
          <w:rFonts w:eastAsia="Calibri"/>
          <w:sz w:val="24"/>
          <w:szCs w:val="24"/>
          <w:shd w:fill="FF4000" w:val="clear"/>
          <w:lang w:eastAsia="x-none"/>
        </w:rPr>
      </w:pPr>
      <w:r>
        <w:rPr>
          <w:rFonts w:eastAsia="Calibri"/>
          <w:sz w:val="24"/>
          <w:szCs w:val="24"/>
          <w:shd w:fill="FF4000" w:val="clear"/>
          <w:lang w:eastAsia="x-none"/>
        </w:rPr>
      </w:r>
    </w:p>
    <w:p>
      <w:pPr>
        <w:pStyle w:val="Normal"/>
        <w:jc w:val="both"/>
        <w:rPr>
          <w:rFonts w:eastAsia="Calibri"/>
          <w:sz w:val="24"/>
          <w:szCs w:val="24"/>
          <w:shd w:fill="FF4000" w:val="clear"/>
          <w:lang w:eastAsia="x-none"/>
        </w:rPr>
      </w:pPr>
      <w:r>
        <w:rPr>
          <w:rFonts w:eastAsia="Calibri"/>
          <w:sz w:val="24"/>
          <w:szCs w:val="24"/>
          <w:shd w:fill="FF4000" w:val="clear"/>
          <w:lang w:eastAsia="x-none"/>
        </w:rPr>
      </w:r>
    </w:p>
    <w:p>
      <w:pPr>
        <w:pStyle w:val="Normal"/>
        <w:keepNext w:val="true"/>
        <w:numPr>
          <w:ilvl w:val="0"/>
          <w:numId w:val="0"/>
        </w:numPr>
        <w:suppressAutoHyphens w:val="false"/>
        <w:overflowPunct w:val="false"/>
        <w:spacing w:before="120" w:after="60"/>
        <w:ind w:hanging="432" w:start="432" w:end="0"/>
        <w:outlineLvl w:val="3"/>
        <w:rPr>
          <w:rFonts w:eastAsia="Calibri"/>
          <w:b/>
          <w:bCs/>
          <w:sz w:val="24"/>
          <w:szCs w:val="24"/>
          <w:lang w:val="x-none" w:eastAsia="x-none"/>
        </w:rPr>
      </w:pPr>
      <w:bookmarkStart w:id="36" w:name="__RefHeading___Toc11252_1074701108"/>
      <w:bookmarkStart w:id="37" w:name="_Toc134094627"/>
      <w:bookmarkStart w:id="38" w:name="_Toc131177353"/>
      <w:bookmarkStart w:id="39" w:name="_Toc130551630"/>
      <w:bookmarkStart w:id="40" w:name="_Toc130463753"/>
      <w:bookmarkStart w:id="41" w:name="_Toc130295472"/>
      <w:bookmarkStart w:id="42" w:name="_Toc131404733"/>
      <w:bookmarkStart w:id="43" w:name="_Toc132984261"/>
      <w:bookmarkStart w:id="44" w:name="_Toc134198265"/>
      <w:bookmarkStart w:id="45" w:name="_Toc166326080"/>
      <w:bookmarkStart w:id="46" w:name="_Toc225498648"/>
      <w:bookmarkStart w:id="47" w:name="_Toc234338397"/>
      <w:bookmarkStart w:id="48" w:name="_Toc171582219"/>
      <w:bookmarkEnd w:id="36"/>
      <w:r>
        <w:rPr>
          <w:rFonts w:eastAsia="Calibri"/>
          <w:b/>
          <w:bCs/>
          <w:sz w:val="24"/>
          <w:szCs w:val="24"/>
          <w:lang w:eastAsia="x-none"/>
        </w:rPr>
        <w:t xml:space="preserve">2. 2. </w:t>
      </w:r>
      <w:r>
        <w:rPr>
          <w:rFonts w:eastAsia="Calibri"/>
          <w:b/>
          <w:bCs/>
          <w:sz w:val="24"/>
          <w:szCs w:val="24"/>
          <w:lang w:val="x-none" w:eastAsia="x-none"/>
        </w:rPr>
        <w:t>Понятие эквивалента</w:t>
      </w:r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</w:p>
    <w:p>
      <w:pPr>
        <w:pStyle w:val="Normal"/>
        <w:suppressAutoHyphens w:val="false"/>
        <w:overflowPunct w:val="false"/>
        <w:rPr>
          <w:rFonts w:eastAsia="Calibri"/>
          <w:i/>
          <w:iCs/>
          <w:sz w:val="24"/>
          <w:szCs w:val="24"/>
          <w:lang w:eastAsia="x-none"/>
        </w:rPr>
      </w:pPr>
      <w:r>
        <w:rPr>
          <w:rFonts w:eastAsia="Calibri"/>
          <w:i/>
          <w:iCs/>
          <w:sz w:val="24"/>
          <w:szCs w:val="24"/>
          <w:lang w:eastAsia="x-none"/>
        </w:rPr>
        <w:t xml:space="preserve">2.2.1. Указанные в настоящем ТТ ссылки на ТУ, марку (тип) продукции носят описательный, а не обязательный характер. В случае, если Участником предлагается эквивалентная продукция требуемой Заказчику продукции или ее составных частей, он должен в обязательном порядке в составе своего предложения предоставить подробное техническое описание предлагаемого к поставке эквивалента, в объеме не менее установленных в настоящем ТТ требований. </w:t>
      </w:r>
    </w:p>
    <w:p>
      <w:pPr>
        <w:pStyle w:val="Normal"/>
        <w:suppressAutoHyphens w:val="false"/>
        <w:overflowPunct w:val="false"/>
        <w:rPr>
          <w:rFonts w:eastAsia="Calibri"/>
          <w:i/>
          <w:iCs/>
          <w:sz w:val="24"/>
          <w:szCs w:val="24"/>
          <w:lang w:eastAsia="x-none"/>
        </w:rPr>
      </w:pPr>
      <w:r>
        <w:rPr>
          <w:rFonts w:eastAsia="Calibri"/>
          <w:i/>
          <w:iCs/>
          <w:sz w:val="24"/>
          <w:szCs w:val="24"/>
          <w:lang w:eastAsia="x-none"/>
        </w:rPr>
      </w:r>
    </w:p>
    <w:p>
      <w:pPr>
        <w:pStyle w:val="Normal"/>
        <w:suppressAutoHyphens w:val="false"/>
        <w:overflowPunct w:val="false"/>
        <w:rPr>
          <w:rFonts w:eastAsia="Calibri"/>
          <w:sz w:val="24"/>
          <w:szCs w:val="24"/>
          <w:lang w:eastAsia="x-none"/>
        </w:rPr>
      </w:pPr>
      <w:r>
        <w:rPr>
          <w:rFonts w:eastAsia="Calibri"/>
          <w:i/>
          <w:iCs/>
          <w:sz w:val="24"/>
          <w:szCs w:val="24"/>
          <w:lang w:eastAsia="x-none"/>
        </w:rPr>
        <w:t>2.2.2. Эквивалентная продукция – это продукция, которая по техническим и функциональным характеристикам не уступает характеристикам, заявленным в документации о закупке, в том числе, по гарантийным срокам и срокам эксплуатации.</w:t>
      </w:r>
    </w:p>
    <w:p>
      <w:pPr>
        <w:pStyle w:val="Normal"/>
        <w:suppressAutoHyphens w:val="false"/>
        <w:overflowPunct w:val="false"/>
        <w:rPr>
          <w:lang w:eastAsia="x-none"/>
        </w:rPr>
      </w:pPr>
      <w:r>
        <w:rPr>
          <w:lang w:eastAsia="x-none"/>
        </w:rPr>
      </w:r>
    </w:p>
    <w:p>
      <w:pPr>
        <w:pStyle w:val="Normal"/>
        <w:tabs>
          <w:tab w:val="clear" w:pos="708"/>
          <w:tab w:val="left" w:pos="7875" w:leader="none"/>
        </w:tabs>
        <w:suppressAutoHyphens w:val="false"/>
        <w:overflowPunct w:val="false"/>
        <w:rPr>
          <w:i/>
          <w:iCs/>
          <w:sz w:val="24"/>
          <w:szCs w:val="24"/>
          <w:lang w:val="x-none"/>
        </w:rPr>
        <w:sectPr>
          <w:headerReference w:type="even" r:id="rId2"/>
          <w:headerReference w:type="default" r:id="rId3"/>
          <w:headerReference w:type="first" r:id="rId4"/>
          <w:type w:val="nextPage"/>
          <w:pgSz w:w="11906" w:h="16838"/>
          <w:pgMar w:left="1134" w:right="851" w:gutter="0" w:header="680" w:top="1134" w:footer="0" w:bottom="992"/>
          <w:pgNumType w:fmt="decimal"/>
          <w:formProt w:val="false"/>
          <w:titlePg/>
          <w:textDirection w:val="lrTb"/>
          <w:docGrid w:type="default" w:linePitch="360" w:charSpace="0"/>
        </w:sectPr>
      </w:pPr>
      <w:r>
        <w:rPr>
          <w:rFonts w:eastAsia="Calibri"/>
          <w:i/>
          <w:iCs/>
          <w:sz w:val="24"/>
          <w:szCs w:val="24"/>
          <w:lang w:eastAsia="x-none"/>
        </w:rPr>
        <w:t>2.2.3. Для оценки возможности использования предлагаемой эквивалентной продукции, предложение Участника должно содержать техническую информацию в объеме не менее, соответствующем техническим требованиям, указанным Заказчиком в документации о закупке.</w:t>
      </w:r>
    </w:p>
    <w:p>
      <w:pPr>
        <w:pStyle w:val="Heading4"/>
        <w:numPr>
          <w:ilvl w:val="1"/>
          <w:numId w:val="3"/>
        </w:numPr>
        <w:ind w:hanging="432" w:start="432" w:end="0"/>
        <w:rPr/>
      </w:pPr>
      <w:bookmarkStart w:id="49" w:name="__RefHeading___Toc11254_1074701108"/>
      <w:bookmarkStart w:id="50" w:name="_Toc125991552"/>
      <w:bookmarkStart w:id="51" w:name="_Toc46743511"/>
      <w:bookmarkStart w:id="52" w:name="_Toc51339698"/>
      <w:bookmarkEnd w:id="49"/>
      <w:bookmarkEnd w:id="52"/>
      <w:r>
        <w:rPr/>
        <w:t xml:space="preserve">Требования к </w:t>
      </w:r>
      <w:bookmarkEnd w:id="51"/>
      <w:r>
        <w:rPr>
          <w:lang w:val="ru-RU"/>
        </w:rPr>
        <w:t>качеству продукции</w:t>
      </w:r>
      <w:bookmarkEnd w:id="50"/>
    </w:p>
    <w:p>
      <w:pPr>
        <w:pStyle w:val="Normal"/>
        <w:keepNext w:val="true"/>
        <w:keepLines/>
        <w:numPr>
          <w:ilvl w:val="0"/>
          <w:numId w:val="0"/>
        </w:numPr>
        <w:spacing w:before="240" w:after="60"/>
        <w:ind w:hanging="0" w:start="0"/>
        <w:outlineLvl w:val="0"/>
        <w:rPr>
          <w:rFonts w:eastAsia="Calibri"/>
          <w:b/>
          <w:sz w:val="24"/>
          <w:szCs w:val="24"/>
          <w:lang w:val="x-none" w:eastAsia="x-none"/>
        </w:rPr>
      </w:pPr>
      <w:bookmarkStart w:id="53" w:name="__RefHeading___Toc11256_1074701108"/>
      <w:bookmarkStart w:id="54" w:name="_Toc120722014"/>
      <w:bookmarkStart w:id="55" w:name="_Toc125991553"/>
      <w:bookmarkEnd w:id="53"/>
      <w:r>
        <w:rPr>
          <w:rFonts w:eastAsia="Calibri"/>
          <w:b/>
          <w:sz w:val="24"/>
          <w:szCs w:val="24"/>
          <w:lang w:val="x-none" w:eastAsia="x-none"/>
        </w:rPr>
        <w:t>Таблица </w:t>
      </w:r>
      <w:r>
        <w:rPr>
          <w:rFonts w:eastAsia="Calibri"/>
          <w:b/>
          <w:sz w:val="24"/>
          <w:szCs w:val="24"/>
          <w:lang w:eastAsia="x-none"/>
        </w:rPr>
        <w:t>3</w:t>
      </w:r>
      <w:r>
        <w:rPr>
          <w:rFonts w:eastAsia="Calibri"/>
          <w:b/>
          <w:sz w:val="24"/>
          <w:szCs w:val="24"/>
          <w:lang w:val="x-none" w:eastAsia="x-none"/>
        </w:rPr>
        <w:t xml:space="preserve"> Требования к </w:t>
      </w:r>
      <w:r>
        <w:rPr>
          <w:rFonts w:eastAsia="Calibri"/>
          <w:b/>
          <w:sz w:val="24"/>
          <w:szCs w:val="24"/>
          <w:lang w:eastAsia="x-none"/>
        </w:rPr>
        <w:t>продукции</w:t>
      </w:r>
      <w:bookmarkEnd w:id="54"/>
      <w:bookmarkEnd w:id="55"/>
      <w:r>
        <w:rPr>
          <w:rFonts w:eastAsia="Calibri"/>
          <w:b/>
          <w:sz w:val="24"/>
          <w:szCs w:val="24"/>
          <w:lang w:val="x-none" w:eastAsia="x-none"/>
        </w:rPr>
        <w:t xml:space="preserve"> </w:t>
      </w:r>
    </w:p>
    <w:p>
      <w:pPr>
        <w:pStyle w:val="Normal"/>
        <w:jc w:val="both"/>
        <w:rPr>
          <w:i/>
          <w:iCs/>
          <w:sz w:val="24"/>
          <w:szCs w:val="24"/>
          <w:shd w:fill="FFFF99" w:val="clear"/>
        </w:rPr>
      </w:pPr>
      <w:r>
        <w:rPr>
          <w:b/>
          <w:bCs/>
          <w:i/>
          <w:iCs/>
          <w:sz w:val="24"/>
          <w:szCs w:val="24"/>
        </w:rPr>
        <w:t>Наименование продукции (позиция №</w:t>
      </w:r>
      <w:r>
        <w:rPr>
          <w:b/>
          <w:bCs/>
          <w:i/>
          <w:iCs/>
          <w:color w:val="000000"/>
          <w:sz w:val="24"/>
          <w:szCs w:val="24"/>
        </w:rPr>
        <w:t>1</w:t>
      </w:r>
      <w:r>
        <w:rPr>
          <w:b/>
          <w:bCs/>
          <w:i/>
          <w:iCs/>
          <w:sz w:val="24"/>
          <w:szCs w:val="24"/>
        </w:rPr>
        <w:t>-</w:t>
      </w:r>
      <w:r>
        <w:rPr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b/>
          <w:bCs/>
          <w:i/>
          <w:iCs/>
          <w:color w:val="000000"/>
          <w:sz w:val="24"/>
          <w:szCs w:val="24"/>
        </w:rPr>
        <w:t xml:space="preserve">Таблицы 1.1): </w:t>
      </w:r>
      <w:bookmarkStart w:id="56" w:name="_Hlk116902211_Копия_1"/>
      <w:r>
        <w:rPr>
          <w:rFonts w:eastAsia="Calibri"/>
          <w:b/>
          <w:bCs/>
          <w:i/>
          <w:iCs/>
          <w:color w:val="000000"/>
          <w:sz w:val="24"/>
          <w:szCs w:val="24"/>
        </w:rPr>
        <w:t>ОКПД2 10.82.22 Поставка детских новогодних подарков для нужд АО "Усть-СреднеканГЭСстрой"</w:t>
      </w:r>
      <w:bookmarkEnd w:id="56"/>
    </w:p>
    <w:tbl>
      <w:tblPr>
        <w:tblW w:w="15240" w:type="dxa"/>
        <w:jc w:val="start"/>
        <w:tblInd w:w="-23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64"/>
        <w:gridCol w:w="2649"/>
        <w:gridCol w:w="4732"/>
        <w:gridCol w:w="1960"/>
        <w:gridCol w:w="2548"/>
        <w:gridCol w:w="2387"/>
      </w:tblGrid>
      <w:tr>
        <w:trPr/>
        <w:tc>
          <w:tcPr>
            <w:tcW w:w="96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 xml:space="preserve">№ </w:t>
            </w:r>
            <w:r>
              <w:rPr>
                <w:b/>
                <w:bCs/>
                <w:i/>
                <w:iCs/>
                <w:sz w:val="24"/>
                <w:szCs w:val="24"/>
              </w:rPr>
              <w:t>п/п</w:t>
            </w:r>
          </w:p>
        </w:tc>
        <w:tc>
          <w:tcPr>
            <w:tcW w:w="264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Наименование параметра</w:t>
            </w:r>
          </w:p>
        </w:tc>
        <w:tc>
          <w:tcPr>
            <w:tcW w:w="473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Требование заказчика</w:t>
            </w:r>
          </w:p>
        </w:tc>
        <w:tc>
          <w:tcPr>
            <w:tcW w:w="45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Способ подтверждения участником соответствия требованиям</w:t>
            </w:r>
          </w:p>
        </w:tc>
        <w:tc>
          <w:tcPr>
            <w:tcW w:w="238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Предложение участника по характеристикам и параметрам</w:t>
            </w:r>
          </w:p>
        </w:tc>
      </w:tr>
      <w:tr>
        <w:trPr/>
        <w:tc>
          <w:tcPr>
            <w:tcW w:w="9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64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473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Согласие с требованием/ указание характеристик</w:t>
            </w:r>
          </w:p>
        </w:tc>
        <w:tc>
          <w:tcPr>
            <w:tcW w:w="2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Предоставление подтверждающего документа или иной способ подтверждения</w:t>
            </w:r>
          </w:p>
        </w:tc>
        <w:tc>
          <w:tcPr>
            <w:tcW w:w="23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60" w:after="60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6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  <w:t>2</w:t>
            </w:r>
          </w:p>
        </w:tc>
        <w:tc>
          <w:tcPr>
            <w:tcW w:w="47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  <w:t>4</w:t>
            </w:r>
          </w:p>
        </w:tc>
        <w:tc>
          <w:tcPr>
            <w:tcW w:w="2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  <w:t>5</w:t>
            </w:r>
          </w:p>
        </w:tc>
        <w:tc>
          <w:tcPr>
            <w:tcW w:w="2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  <w:t>6</w:t>
            </w:r>
          </w:p>
        </w:tc>
      </w:tr>
      <w:tr>
        <w:trPr/>
        <w:tc>
          <w:tcPr>
            <w:tcW w:w="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6"/>
              </w:numPr>
              <w:spacing w:before="60" w:after="60"/>
              <w:contextualSpacing/>
              <w:jc w:val="center"/>
              <w:rPr>
                <w:rFonts w:eastAsia="Calibri"/>
                <w:i/>
                <w:iCs/>
                <w:color w:val="000000"/>
                <w:sz w:val="24"/>
                <w:szCs w:val="24"/>
              </w:rPr>
            </w:pPr>
            <w:r>
              <w:rPr>
                <w:rFonts w:eastAsia="Calibri"/>
                <w:i/>
                <w:iCs/>
                <w:color w:val="000000"/>
                <w:sz w:val="24"/>
                <w:szCs w:val="24"/>
              </w:rPr>
            </w:r>
          </w:p>
        </w:tc>
        <w:tc>
          <w:tcPr>
            <w:tcW w:w="7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i/>
                <w:iCs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  <w:t>Требования к закупаемой продукции</w:t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  <w:t>-//-</w:t>
            </w:r>
          </w:p>
        </w:tc>
        <w:tc>
          <w:tcPr>
            <w:tcW w:w="2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  <w:t>-//-</w:t>
            </w:r>
          </w:p>
        </w:tc>
        <w:tc>
          <w:tcPr>
            <w:tcW w:w="2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  <w:t>-//-</w:t>
            </w:r>
          </w:p>
        </w:tc>
      </w:tr>
      <w:tr>
        <w:trPr/>
        <w:tc>
          <w:tcPr>
            <w:tcW w:w="9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 w:val="false"/>
              <w:numPr>
                <w:ilvl w:val="1"/>
                <w:numId w:val="6"/>
              </w:numPr>
              <w:spacing w:before="60" w:after="60"/>
              <w:ind w:hanging="567" w:start="714" w:end="0"/>
              <w:contextualSpacing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</w:r>
          </w:p>
        </w:tc>
        <w:tc>
          <w:tcPr>
            <w:tcW w:w="26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b/>
                <w:i/>
                <w:iCs/>
                <w:sz w:val="24"/>
                <w:szCs w:val="24"/>
              </w:rPr>
              <w:t>Внешняя упаковка</w:t>
            </w:r>
          </w:p>
        </w:tc>
        <w:tc>
          <w:tcPr>
            <w:tcW w:w="47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Подарочная картонная коробка из микрогофрокартона с нанесением полноцветного дизайна и логотипа организации.</w:t>
            </w:r>
          </w:p>
          <w:p>
            <w:pPr>
              <w:pStyle w:val="Normal"/>
              <w:widowControl w:val="false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Размеры: не менее 31*22*36 см</w:t>
            </w:r>
          </w:p>
        </w:tc>
        <w:tc>
          <w:tcPr>
            <w:tcW w:w="1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color w:val="000000"/>
                <w:sz w:val="24"/>
                <w:szCs w:val="24"/>
              </w:rPr>
              <w:t>Указание характеристик</w:t>
            </w:r>
          </w:p>
        </w:tc>
        <w:tc>
          <w:tcPr>
            <w:tcW w:w="25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</w:r>
          </w:p>
        </w:tc>
        <w:tc>
          <w:tcPr>
            <w:tcW w:w="23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9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 w:val="false"/>
              <w:numPr>
                <w:ilvl w:val="1"/>
                <w:numId w:val="6"/>
              </w:numPr>
              <w:spacing w:before="60" w:after="60"/>
              <w:ind w:hanging="567" w:start="714" w:end="0"/>
              <w:contextualSpacing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</w:r>
          </w:p>
        </w:tc>
        <w:tc>
          <w:tcPr>
            <w:tcW w:w="2649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i/>
                <w:iCs/>
                <w:sz w:val="24"/>
                <w:szCs w:val="24"/>
              </w:rPr>
            </w:pPr>
            <w:r>
              <w:rPr>
                <w:b/>
                <w:i/>
                <w:iCs/>
                <w:sz w:val="24"/>
                <w:szCs w:val="24"/>
              </w:rPr>
              <w:t>Кондитерский набор в индивидуальной упаковке</w:t>
            </w:r>
          </w:p>
        </w:tc>
        <w:tc>
          <w:tcPr>
            <w:tcW w:w="47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Общий вес кондитерских изделий - н</w:t>
            </w:r>
            <w:r>
              <w:rPr>
                <w:i/>
                <w:iCs/>
                <w:sz w:val="24"/>
                <w:szCs w:val="24"/>
                <w:lang w:eastAsia="x-none"/>
              </w:rPr>
              <w:t>е менее 300 грамм — не более 500 грамм.</w:t>
            </w:r>
          </w:p>
        </w:tc>
        <w:tc>
          <w:tcPr>
            <w:tcW w:w="1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Указание характеристик</w:t>
            </w:r>
          </w:p>
        </w:tc>
        <w:tc>
          <w:tcPr>
            <w:tcW w:w="25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</w:r>
          </w:p>
        </w:tc>
        <w:tc>
          <w:tcPr>
            <w:tcW w:w="23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9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 w:val="false"/>
              <w:numPr>
                <w:ilvl w:val="1"/>
                <w:numId w:val="6"/>
              </w:numPr>
              <w:spacing w:before="60" w:after="60"/>
              <w:ind w:hanging="567" w:start="714" w:end="0"/>
              <w:contextualSpacing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</w:r>
          </w:p>
        </w:tc>
        <w:tc>
          <w:tcPr>
            <w:tcW w:w="26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47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Кондитерский набор должен состоять из ассорти мармелада, конфет на основе свежевыжатых соков с мякотью фруктов, свежих ягод не менее 50% от общего веса, шоколадных конфет высшей категории не менее 50 % от общего веса</w:t>
            </w:r>
          </w:p>
        </w:tc>
        <w:tc>
          <w:tcPr>
            <w:tcW w:w="1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Согласие с требованиями</w:t>
            </w:r>
          </w:p>
        </w:tc>
        <w:tc>
          <w:tcPr>
            <w:tcW w:w="25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</w:r>
          </w:p>
        </w:tc>
        <w:tc>
          <w:tcPr>
            <w:tcW w:w="23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9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 w:val="false"/>
              <w:numPr>
                <w:ilvl w:val="1"/>
                <w:numId w:val="6"/>
              </w:numPr>
              <w:spacing w:before="60" w:after="60"/>
              <w:ind w:hanging="567" w:start="714" w:end="0"/>
              <w:contextualSpacing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</w:r>
          </w:p>
        </w:tc>
        <w:tc>
          <w:tcPr>
            <w:tcW w:w="26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47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Упаковка должна быть выполнена в виде текстильного мешочка или картонной упаковки с нанесением яркого красочного рисунка с символикой года (коза) и вмещать в себя все содержимое кондитерского набора.</w:t>
            </w:r>
          </w:p>
        </w:tc>
        <w:tc>
          <w:tcPr>
            <w:tcW w:w="1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Указание характеристик</w:t>
            </w:r>
          </w:p>
        </w:tc>
        <w:tc>
          <w:tcPr>
            <w:tcW w:w="25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</w:r>
          </w:p>
        </w:tc>
        <w:tc>
          <w:tcPr>
            <w:tcW w:w="23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9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 w:val="false"/>
              <w:numPr>
                <w:ilvl w:val="1"/>
                <w:numId w:val="6"/>
              </w:numPr>
              <w:spacing w:before="60" w:after="60"/>
              <w:ind w:hanging="567" w:start="714" w:end="0"/>
              <w:contextualSpacing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</w:r>
          </w:p>
        </w:tc>
        <w:tc>
          <w:tcPr>
            <w:tcW w:w="26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47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Кондитерский набор должен иметь ассортиментный перечень с указанием веса каждой единицы продукции.</w:t>
            </w:r>
          </w:p>
        </w:tc>
        <w:tc>
          <w:tcPr>
            <w:tcW w:w="1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Согласие с требованиями</w:t>
            </w:r>
          </w:p>
        </w:tc>
        <w:tc>
          <w:tcPr>
            <w:tcW w:w="25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</w:r>
          </w:p>
        </w:tc>
        <w:tc>
          <w:tcPr>
            <w:tcW w:w="23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9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 w:val="false"/>
              <w:numPr>
                <w:ilvl w:val="1"/>
                <w:numId w:val="6"/>
              </w:numPr>
              <w:spacing w:before="60" w:after="60"/>
              <w:ind w:hanging="567" w:start="714" w:end="0"/>
              <w:contextualSpacing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</w:r>
          </w:p>
        </w:tc>
        <w:tc>
          <w:tcPr>
            <w:tcW w:w="2649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i/>
                <w:iCs/>
                <w:sz w:val="24"/>
                <w:szCs w:val="24"/>
              </w:rPr>
            </w:pPr>
            <w:r>
              <w:rPr>
                <w:b/>
                <w:i/>
                <w:iCs/>
                <w:sz w:val="24"/>
                <w:szCs w:val="24"/>
              </w:rPr>
              <w:t>Мягкая игрушка «Бобёр-строитель»</w:t>
            </w:r>
          </w:p>
        </w:tc>
        <w:tc>
          <w:tcPr>
            <w:tcW w:w="4732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Персонаж: бобёр, добрый и дружелюбный, с крупными выразительными глазами, характерными зубами и большим хвостом.</w:t>
            </w:r>
          </w:p>
          <w:p>
            <w:pPr>
              <w:pStyle w:val="Normal"/>
              <w:widowControl w:val="false"/>
              <w:jc w:val="both"/>
              <w:rPr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•</w:t>
            </w:r>
            <w:r>
              <w:rPr>
                <w:bCs/>
                <w:i/>
                <w:iCs/>
                <w:sz w:val="24"/>
                <w:szCs w:val="24"/>
              </w:rPr>
              <w:tab/>
              <w:t>Размер:  не менее 30 см.</w:t>
            </w:r>
          </w:p>
          <w:p>
            <w:pPr>
              <w:pStyle w:val="Normal"/>
              <w:widowControl w:val="false"/>
              <w:jc w:val="both"/>
              <w:rPr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•</w:t>
            </w:r>
            <w:r>
              <w:rPr>
                <w:bCs/>
                <w:i/>
                <w:iCs/>
                <w:sz w:val="24"/>
                <w:szCs w:val="24"/>
              </w:rPr>
              <w:tab/>
              <w:t>Материал: материал должен быть мягким, без жёстких, колючих или грубых включений, не вызывать раздражения при тактильном контакте, безопасный для детей.</w:t>
            </w:r>
          </w:p>
          <w:p>
            <w:pPr>
              <w:pStyle w:val="Normal"/>
              <w:widowControl w:val="false"/>
              <w:jc w:val="both"/>
              <w:rPr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•</w:t>
            </w:r>
            <w:r>
              <w:rPr>
                <w:bCs/>
                <w:i/>
                <w:iCs/>
                <w:sz w:val="24"/>
                <w:szCs w:val="24"/>
              </w:rPr>
              <w:tab/>
              <w:t>Наполнитель: силиконизированное полиэфирное волокно (синтепух)</w:t>
            </w:r>
            <w:r>
              <w:rPr>
                <w:rFonts w:cs="Arial" w:ascii="Arial" w:hAnsi="Arial"/>
                <w:spacing w:val="3"/>
                <w:shd w:fill="FFFFFF" w:val="clear"/>
              </w:rPr>
              <w:t xml:space="preserve"> </w:t>
            </w:r>
            <w:r>
              <w:rPr>
                <w:bCs/>
                <w:i/>
                <w:iCs/>
                <w:sz w:val="24"/>
                <w:szCs w:val="24"/>
              </w:rPr>
              <w:t>или иной аналогичный материал, подтверждённо безопасный для детского использования и не вызывающий аллергических реакций.</w:t>
            </w:r>
          </w:p>
          <w:p>
            <w:pPr>
              <w:pStyle w:val="Normal"/>
              <w:widowControl w:val="false"/>
              <w:jc w:val="both"/>
              <w:rPr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•</w:t>
            </w:r>
            <w:r>
              <w:rPr>
                <w:bCs/>
                <w:i/>
                <w:iCs/>
                <w:sz w:val="24"/>
                <w:szCs w:val="24"/>
              </w:rPr>
              <w:tab/>
              <w:t>Цветовая гамма: согласно Приложению № 1 к техническим требованиям, цвет окраса-коричневый.</w:t>
            </w:r>
          </w:p>
          <w:p>
            <w:pPr>
              <w:pStyle w:val="Normal"/>
              <w:widowControl w:val="false"/>
              <w:jc w:val="both"/>
              <w:rPr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•</w:t>
            </w:r>
            <w:r>
              <w:rPr>
                <w:bCs/>
                <w:i/>
                <w:iCs/>
                <w:sz w:val="24"/>
                <w:szCs w:val="24"/>
              </w:rPr>
              <w:tab/>
              <w:t>Каска: обязательный элемент — оранжевая строительная каска с логотипом компании.</w:t>
            </w:r>
          </w:p>
          <w:p>
            <w:pPr>
              <w:pStyle w:val="Normal"/>
              <w:widowControl w:val="false"/>
              <w:jc w:val="both"/>
              <w:rPr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•</w:t>
            </w:r>
            <w:r>
              <w:rPr>
                <w:bCs/>
                <w:i/>
                <w:iCs/>
                <w:sz w:val="24"/>
                <w:szCs w:val="24"/>
              </w:rPr>
              <w:tab/>
              <w:t>Логотип: Нанесение вышивкой оригинальный логотип АО «Усть-СреднеканГЭСстрой» без изменения пропорций и цветов.</w:t>
            </w:r>
          </w:p>
          <w:p>
            <w:pPr>
              <w:pStyle w:val="Normal"/>
              <w:widowControl w:val="false"/>
              <w:jc w:val="both"/>
              <w:rPr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•</w:t>
            </w:r>
            <w:r>
              <w:rPr>
                <w:bCs/>
                <w:i/>
                <w:iCs/>
                <w:sz w:val="24"/>
                <w:szCs w:val="24"/>
              </w:rPr>
              <w:tab/>
              <w:t>Одежда:</w:t>
            </w:r>
          </w:p>
          <w:p>
            <w:pPr>
              <w:pStyle w:val="Normal"/>
              <w:widowControl w:val="false"/>
              <w:jc w:val="both"/>
              <w:rPr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В синей рабочей куртке/толстовке с фирменными элементами.</w:t>
            </w:r>
          </w:p>
          <w:p>
            <w:pPr>
              <w:pStyle w:val="Normal"/>
              <w:widowControl w:val="false"/>
              <w:jc w:val="both"/>
              <w:rPr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•</w:t>
            </w:r>
            <w:r>
              <w:rPr>
                <w:bCs/>
                <w:i/>
                <w:iCs/>
                <w:sz w:val="24"/>
                <w:szCs w:val="24"/>
              </w:rPr>
              <w:tab/>
              <w:t>Безопасность: игрушка должна соответствовать требованиям ТР ТС 008/2011 «О безопасности игрушек»; все детали должны быть надёжно закреплены, без мелких легко отрывающихся элементов.</w:t>
            </w:r>
          </w:p>
          <w:p>
            <w:pPr>
              <w:pStyle w:val="Normal"/>
              <w:widowControl w:val="false"/>
              <w:jc w:val="both"/>
              <w:rPr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•</w:t>
            </w:r>
            <w:r>
              <w:rPr>
                <w:bCs/>
                <w:i/>
                <w:iCs/>
                <w:sz w:val="24"/>
                <w:szCs w:val="24"/>
              </w:rPr>
              <w:tab/>
              <w:t>Возраст: ориентировочно 3+ с окончательной маркировкой по требованиям производителя.</w:t>
            </w:r>
          </w:p>
          <w:p>
            <w:pPr>
              <w:pStyle w:val="Normal"/>
              <w:widowControl w:val="false"/>
              <w:jc w:val="both"/>
              <w:rPr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•</w:t>
            </w:r>
            <w:r>
              <w:rPr>
                <w:bCs/>
                <w:i/>
                <w:iCs/>
                <w:sz w:val="24"/>
                <w:szCs w:val="24"/>
              </w:rPr>
              <w:tab/>
              <w:t>Упаковка: индивидуальная подарочная коробка в фирменной сине-оранжевой гамме, желательно с прозрачным окном и новогодним оформлением.</w:t>
            </w:r>
          </w:p>
        </w:tc>
        <w:tc>
          <w:tcPr>
            <w:tcW w:w="1960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 xml:space="preserve">Указание характеристик </w:t>
            </w:r>
          </w:p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</w:r>
          </w:p>
        </w:tc>
        <w:tc>
          <w:tcPr>
            <w:tcW w:w="2548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</w:r>
          </w:p>
        </w:tc>
        <w:tc>
          <w:tcPr>
            <w:tcW w:w="2387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9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 w:val="false"/>
              <w:numPr>
                <w:ilvl w:val="1"/>
                <w:numId w:val="6"/>
              </w:numPr>
              <w:spacing w:before="60" w:after="60"/>
              <w:ind w:hanging="567" w:start="714" w:end="0"/>
              <w:contextualSpacing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</w:r>
          </w:p>
        </w:tc>
        <w:tc>
          <w:tcPr>
            <w:tcW w:w="26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4732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960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54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387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9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 w:val="false"/>
              <w:numPr>
                <w:ilvl w:val="1"/>
                <w:numId w:val="6"/>
              </w:numPr>
              <w:spacing w:before="60" w:after="60"/>
              <w:ind w:hanging="567" w:start="714" w:end="0"/>
              <w:contextualSpacing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</w:r>
          </w:p>
        </w:tc>
        <w:tc>
          <w:tcPr>
            <w:tcW w:w="26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4732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960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54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387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9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 w:val="false"/>
              <w:numPr>
                <w:ilvl w:val="1"/>
                <w:numId w:val="6"/>
              </w:numPr>
              <w:spacing w:before="60" w:after="60"/>
              <w:ind w:hanging="567" w:start="714" w:end="0"/>
              <w:contextualSpacing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</w:r>
          </w:p>
        </w:tc>
        <w:tc>
          <w:tcPr>
            <w:tcW w:w="26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4732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960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54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387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trHeight w:val="933" w:hRule="atLeast"/>
        </w:trPr>
        <w:tc>
          <w:tcPr>
            <w:tcW w:w="9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 w:val="false"/>
              <w:numPr>
                <w:ilvl w:val="1"/>
                <w:numId w:val="6"/>
              </w:numPr>
              <w:spacing w:before="60" w:after="60"/>
              <w:ind w:hanging="567" w:start="714" w:end="0"/>
              <w:contextualSpacing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</w:r>
          </w:p>
        </w:tc>
        <w:tc>
          <w:tcPr>
            <w:tcW w:w="26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4732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960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54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387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9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 w:val="false"/>
              <w:numPr>
                <w:ilvl w:val="1"/>
                <w:numId w:val="6"/>
              </w:numPr>
              <w:spacing w:before="60" w:after="60"/>
              <w:ind w:hanging="567" w:start="714" w:end="0"/>
              <w:contextualSpacing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</w:r>
          </w:p>
        </w:tc>
        <w:tc>
          <w:tcPr>
            <w:tcW w:w="26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4732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960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54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387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9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 w:val="false"/>
              <w:numPr>
                <w:ilvl w:val="1"/>
                <w:numId w:val="6"/>
              </w:numPr>
              <w:spacing w:before="60" w:after="60"/>
              <w:ind w:hanging="567" w:start="714" w:end="0"/>
              <w:contextualSpacing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</w:r>
          </w:p>
        </w:tc>
        <w:tc>
          <w:tcPr>
            <w:tcW w:w="26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4732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960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54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387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trHeight w:val="873" w:hRule="atLeast"/>
        </w:trPr>
        <w:tc>
          <w:tcPr>
            <w:tcW w:w="9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 w:val="false"/>
              <w:numPr>
                <w:ilvl w:val="1"/>
                <w:numId w:val="6"/>
              </w:numPr>
              <w:spacing w:before="60" w:after="60"/>
              <w:ind w:hanging="567" w:start="714" w:end="0"/>
              <w:contextualSpacing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</w:r>
          </w:p>
        </w:tc>
        <w:tc>
          <w:tcPr>
            <w:tcW w:w="2649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3Д ручка</w:t>
            </w:r>
          </w:p>
        </w:tc>
        <w:tc>
          <w:tcPr>
            <w:tcW w:w="47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8"/>
              </w:numPr>
              <w:jc w:val="both"/>
              <w:rPr>
                <w:i/>
                <w:iCs/>
                <w:color w:val="001A34"/>
                <w:sz w:val="24"/>
                <w:szCs w:val="24"/>
                <w:lang w:eastAsia="x-none"/>
              </w:rPr>
            </w:pPr>
            <w:r>
              <w:rPr>
                <w:i/>
                <w:iCs/>
                <w:color w:val="001A34"/>
                <w:sz w:val="24"/>
                <w:szCs w:val="24"/>
                <w:lang w:eastAsia="x-none"/>
              </w:rPr>
              <w:t>1. Безопасность и температурный режим (Критически важно)</w:t>
            </w:r>
          </w:p>
          <w:p>
            <w:pPr>
              <w:pStyle w:val="Normal"/>
              <w:widowControl w:val="false"/>
              <w:numPr>
                <w:ilvl w:val="0"/>
                <w:numId w:val="8"/>
              </w:numPr>
              <w:jc w:val="both"/>
              <w:rPr>
                <w:i/>
                <w:iCs/>
                <w:color w:val="001A34"/>
                <w:sz w:val="24"/>
                <w:szCs w:val="24"/>
                <w:lang w:eastAsia="x-none"/>
              </w:rPr>
            </w:pPr>
            <w:r>
              <w:rPr>
                <w:i/>
                <w:iCs/>
                <w:color w:val="001A34"/>
                <w:sz w:val="24"/>
                <w:szCs w:val="24"/>
                <w:lang w:eastAsia="x-none"/>
              </w:rPr>
              <w:t>Тип нагрева (рекомендованный): Низкотемпературный (поддержка работы с безопасным PCL-пластиком, который плавится при температуре 59–64 °C.). При таком режиме сопло (носик) не обжигает кожу ребенка при случайном касании. [</w:t>
            </w:r>
            <w:hyperlink r:id="rId5">
              <w:r>
                <w:rPr>
                  <w:rStyle w:val="Hyperlink"/>
                  <w:i/>
                  <w:iCs/>
                  <w:sz w:val="24"/>
                  <w:szCs w:val="24"/>
                  <w:lang w:eastAsia="x-none"/>
                </w:rPr>
                <w:t>1</w:t>
              </w:r>
            </w:hyperlink>
            <w:r>
              <w:rPr>
                <w:i/>
                <w:iCs/>
                <w:color w:val="001A34"/>
                <w:sz w:val="24"/>
                <w:szCs w:val="24"/>
                <w:lang w:eastAsia="x-none"/>
              </w:rPr>
              <w:t>]</w:t>
            </w:r>
          </w:p>
          <w:p>
            <w:pPr>
              <w:pStyle w:val="Normal"/>
              <w:widowControl w:val="false"/>
              <w:numPr>
                <w:ilvl w:val="0"/>
                <w:numId w:val="8"/>
              </w:numPr>
              <w:jc w:val="both"/>
              <w:rPr>
                <w:i/>
                <w:iCs/>
                <w:color w:val="001A34"/>
                <w:sz w:val="24"/>
                <w:szCs w:val="24"/>
                <w:lang w:eastAsia="x-none"/>
              </w:rPr>
            </w:pPr>
            <w:r>
              <w:rPr>
                <w:i/>
                <w:iCs/>
                <w:color w:val="001A34"/>
                <w:sz w:val="24"/>
                <w:szCs w:val="24"/>
                <w:lang w:eastAsia="x-none"/>
              </w:rPr>
              <w:t>Материал сопла: Керамический наконечник (он остывает быстрее металлического и безопаснее в использовании).</w:t>
            </w:r>
          </w:p>
          <w:p>
            <w:pPr>
              <w:pStyle w:val="Normal"/>
              <w:widowControl w:val="false"/>
              <w:numPr>
                <w:ilvl w:val="0"/>
                <w:numId w:val="8"/>
              </w:numPr>
              <w:jc w:val="both"/>
              <w:rPr>
                <w:i/>
                <w:iCs/>
                <w:color w:val="001A34"/>
                <w:sz w:val="24"/>
                <w:szCs w:val="24"/>
                <w:lang w:eastAsia="x-none"/>
              </w:rPr>
            </w:pPr>
            <w:r>
              <w:rPr>
                <w:i/>
                <w:iCs/>
                <w:color w:val="001A34"/>
                <w:sz w:val="24"/>
                <w:szCs w:val="24"/>
                <w:lang w:eastAsia="x-none"/>
              </w:rPr>
              <w:t>Автовыключение: Наличие функции автоматического отключения (переход в спящий режим) после 3–5 минут бездействия для защиты от перегрева.</w:t>
            </w:r>
          </w:p>
          <w:p>
            <w:pPr>
              <w:pStyle w:val="Normal"/>
              <w:widowControl w:val="false"/>
              <w:numPr>
                <w:ilvl w:val="0"/>
                <w:numId w:val="8"/>
              </w:numPr>
              <w:jc w:val="both"/>
              <w:rPr>
                <w:i/>
                <w:iCs/>
                <w:color w:val="001A34"/>
                <w:sz w:val="24"/>
                <w:szCs w:val="24"/>
                <w:lang w:eastAsia="x-none"/>
              </w:rPr>
            </w:pPr>
            <w:r>
              <w:rPr>
                <w:i/>
                <w:iCs/>
                <w:color w:val="001A34"/>
                <w:sz w:val="24"/>
                <w:szCs w:val="24"/>
                <w:lang w:eastAsia="x-none"/>
              </w:rPr>
              <w:t>2. Эргономика и управление</w:t>
            </w:r>
          </w:p>
          <w:p>
            <w:pPr>
              <w:pStyle w:val="Normal"/>
              <w:widowControl w:val="false"/>
              <w:numPr>
                <w:ilvl w:val="0"/>
                <w:numId w:val="8"/>
              </w:numPr>
              <w:jc w:val="both"/>
              <w:rPr>
                <w:i/>
                <w:iCs/>
                <w:color w:val="001A34"/>
                <w:sz w:val="24"/>
                <w:szCs w:val="24"/>
                <w:lang w:eastAsia="x-none"/>
              </w:rPr>
            </w:pPr>
            <w:r>
              <w:rPr>
                <w:i/>
                <w:iCs/>
                <w:color w:val="001A34"/>
                <w:sz w:val="24"/>
                <w:szCs w:val="24"/>
                <w:lang w:eastAsia="x-none"/>
              </w:rPr>
              <w:t>Форм-фактор: Облегченный компактный корпус (вес не более 70 грамм), адаптированный под размер детской ладони.</w:t>
            </w:r>
          </w:p>
          <w:p>
            <w:pPr>
              <w:pStyle w:val="Normal"/>
              <w:widowControl w:val="false"/>
              <w:numPr>
                <w:ilvl w:val="0"/>
                <w:numId w:val="8"/>
              </w:numPr>
              <w:jc w:val="both"/>
              <w:rPr>
                <w:i/>
                <w:iCs/>
                <w:color w:val="001A34"/>
                <w:sz w:val="24"/>
                <w:szCs w:val="24"/>
                <w:lang w:eastAsia="x-none"/>
              </w:rPr>
            </w:pPr>
            <w:r>
              <w:rPr>
                <w:i/>
                <w:iCs/>
                <w:color w:val="001A34"/>
                <w:sz w:val="24"/>
                <w:szCs w:val="24"/>
                <w:lang w:eastAsia="x-none"/>
              </w:rPr>
              <w:t>Регулировка скорости: Наличие ползунка или кнопок для изменения скорости подачи пластика (не менее 3 режимов скорости).</w:t>
            </w:r>
          </w:p>
          <w:p>
            <w:pPr>
              <w:pStyle w:val="Normal"/>
              <w:widowControl w:val="false"/>
              <w:numPr>
                <w:ilvl w:val="0"/>
                <w:numId w:val="8"/>
              </w:numPr>
              <w:jc w:val="both"/>
              <w:rPr>
                <w:i/>
                <w:iCs/>
                <w:color w:val="001A34"/>
                <w:sz w:val="24"/>
                <w:szCs w:val="24"/>
                <w:lang w:eastAsia="x-none"/>
              </w:rPr>
            </w:pPr>
            <w:r>
              <w:rPr>
                <w:i/>
                <w:iCs/>
                <w:color w:val="001A34"/>
                <w:sz w:val="24"/>
                <w:szCs w:val="24"/>
                <w:lang w:eastAsia="x-none"/>
              </w:rPr>
              <w:t>Контроль температуры: Встроенный OLED/LCD дисплей для контроля температуры и выбора типа пластика (если ручка поддерживает также стандартный PLA-пластик при 160–180°C).</w:t>
            </w:r>
          </w:p>
          <w:p>
            <w:pPr>
              <w:pStyle w:val="Normal"/>
              <w:widowControl w:val="false"/>
              <w:numPr>
                <w:ilvl w:val="0"/>
                <w:numId w:val="8"/>
              </w:numPr>
              <w:jc w:val="both"/>
              <w:rPr>
                <w:i/>
                <w:iCs/>
                <w:color w:val="001A34"/>
                <w:sz w:val="24"/>
                <w:szCs w:val="24"/>
                <w:lang w:eastAsia="x-none"/>
              </w:rPr>
            </w:pPr>
            <w:r>
              <w:rPr>
                <w:i/>
                <w:iCs/>
                <w:color w:val="001A34"/>
                <w:sz w:val="24"/>
                <w:szCs w:val="24"/>
                <w:lang w:eastAsia="x-none"/>
              </w:rPr>
              <w:t>3. Питание и автономность</w:t>
            </w:r>
          </w:p>
          <w:p>
            <w:pPr>
              <w:pStyle w:val="Normal"/>
              <w:widowControl w:val="false"/>
              <w:numPr>
                <w:ilvl w:val="0"/>
                <w:numId w:val="8"/>
              </w:numPr>
              <w:jc w:val="both"/>
              <w:rPr>
                <w:i/>
                <w:iCs/>
                <w:color w:val="001A34"/>
                <w:sz w:val="24"/>
                <w:szCs w:val="24"/>
                <w:lang w:eastAsia="x-none"/>
              </w:rPr>
            </w:pPr>
            <w:r>
              <w:rPr>
                <w:i/>
                <w:iCs/>
                <w:color w:val="001A34"/>
                <w:sz w:val="24"/>
                <w:szCs w:val="24"/>
                <w:lang w:eastAsia="x-none"/>
              </w:rPr>
              <w:t>Разъем питания: Порт USB (Micro-USB или Type-C).</w:t>
            </w:r>
          </w:p>
          <w:p>
            <w:pPr>
              <w:pStyle w:val="Normal"/>
              <w:widowControl w:val="false"/>
              <w:numPr>
                <w:ilvl w:val="0"/>
                <w:numId w:val="8"/>
              </w:numPr>
              <w:jc w:val="both"/>
              <w:rPr>
                <w:i/>
                <w:iCs/>
                <w:color w:val="001A34"/>
                <w:sz w:val="24"/>
                <w:szCs w:val="24"/>
                <w:lang w:eastAsia="x-none"/>
              </w:rPr>
            </w:pPr>
            <w:r>
              <w:rPr>
                <w:i/>
                <w:iCs/>
                <w:color w:val="001A34"/>
                <w:sz w:val="24"/>
                <w:szCs w:val="24"/>
                <w:lang w:eastAsia="x-none"/>
              </w:rPr>
              <w:t>Мобильность: Возможность работы как от сети (через адаптер), так и от обычного внешнего аккумулятора (Power Bank) с параметрами 5V/2A.</w:t>
            </w:r>
          </w:p>
          <w:p>
            <w:pPr>
              <w:pStyle w:val="Normal"/>
              <w:widowControl w:val="false"/>
              <w:numPr>
                <w:ilvl w:val="0"/>
                <w:numId w:val="8"/>
              </w:numPr>
              <w:jc w:val="both"/>
              <w:rPr>
                <w:i/>
                <w:iCs/>
                <w:color w:val="001A34"/>
                <w:sz w:val="24"/>
                <w:szCs w:val="24"/>
                <w:lang w:eastAsia="x-none"/>
              </w:rPr>
            </w:pPr>
            <w:r>
              <w:rPr>
                <w:i/>
                <w:iCs/>
                <w:color w:val="001A34"/>
                <w:sz w:val="24"/>
                <w:szCs w:val="24"/>
                <w:lang w:eastAsia="x-none"/>
              </w:rPr>
              <w:t>Альтернатива: Наличие встроенного аккумулятора для полностью беспроводной работы (от 40-60 минут автономности).</w:t>
            </w:r>
          </w:p>
          <w:p>
            <w:pPr>
              <w:pStyle w:val="Normal"/>
              <w:widowControl w:val="false"/>
              <w:numPr>
                <w:ilvl w:val="0"/>
                <w:numId w:val="8"/>
              </w:numPr>
              <w:jc w:val="both"/>
              <w:rPr>
                <w:i/>
                <w:iCs/>
                <w:color w:val="001A34"/>
                <w:sz w:val="24"/>
                <w:szCs w:val="24"/>
                <w:lang w:eastAsia="x-none"/>
              </w:rPr>
            </w:pPr>
            <w:r>
              <w:rPr>
                <w:i/>
                <w:iCs/>
                <w:color w:val="001A34"/>
                <w:sz w:val="24"/>
                <w:szCs w:val="24"/>
                <w:lang w:eastAsia="x-none"/>
              </w:rPr>
              <w:t>4. Расходные материалы и экологичность</w:t>
            </w:r>
          </w:p>
          <w:p>
            <w:pPr>
              <w:pStyle w:val="Normal"/>
              <w:widowControl w:val="false"/>
              <w:numPr>
                <w:ilvl w:val="0"/>
                <w:numId w:val="8"/>
              </w:numPr>
              <w:jc w:val="both"/>
              <w:rPr>
                <w:i/>
                <w:iCs/>
                <w:color w:val="001A34"/>
                <w:sz w:val="24"/>
                <w:szCs w:val="24"/>
                <w:lang w:eastAsia="x-none"/>
              </w:rPr>
            </w:pPr>
            <w:r>
              <w:rPr>
                <w:i/>
                <w:iCs/>
                <w:color w:val="001A34"/>
                <w:sz w:val="24"/>
                <w:szCs w:val="24"/>
                <w:lang w:eastAsia="x-none"/>
              </w:rPr>
              <w:t>Поддерживаемый пластик: Обязательная совместимость с биоразлагаемым и нетоксичным пластиком (PCL или PLA). Пластик не должен выделять едкого запаха и дыма при плавлении.</w:t>
            </w:r>
          </w:p>
          <w:p>
            <w:pPr>
              <w:pStyle w:val="Normal"/>
              <w:widowControl w:val="false"/>
              <w:numPr>
                <w:ilvl w:val="0"/>
                <w:numId w:val="8"/>
              </w:numPr>
              <w:jc w:val="both"/>
              <w:rPr>
                <w:i/>
                <w:iCs/>
                <w:color w:val="001A34"/>
                <w:sz w:val="24"/>
                <w:szCs w:val="24"/>
                <w:lang w:eastAsia="x-none"/>
              </w:rPr>
            </w:pPr>
            <w:hyperlink r:id="rId6">
              <w:r>
                <w:rPr>
                  <w:rStyle w:val="Style"/>
                  <w:i/>
                  <w:iCs/>
                  <w:color w:val="001A34"/>
                  <w:sz w:val="24"/>
                  <w:szCs w:val="24"/>
                  <w:lang w:eastAsia="x-none"/>
                </w:rPr>
                <w:t xml:space="preserve">Диаметр нити: Стандартный диаметр 1.75 мм (для легкого поиска расходников в будущем). </w:t>
              </w:r>
            </w:hyperlink>
          </w:p>
          <w:p>
            <w:pPr>
              <w:pStyle w:val="Normal"/>
              <w:widowControl w:val="false"/>
              <w:numPr>
                <w:ilvl w:val="0"/>
                <w:numId w:val="8"/>
              </w:numPr>
              <w:jc w:val="both"/>
              <w:rPr>
                <w:i/>
                <w:iCs/>
                <w:color w:val="001A34"/>
                <w:sz w:val="24"/>
                <w:szCs w:val="24"/>
                <w:lang w:eastAsia="x-none"/>
              </w:rPr>
            </w:pPr>
            <w:r>
              <w:rPr>
                <w:i/>
                <w:iCs/>
                <w:color w:val="001A34"/>
                <w:sz w:val="24"/>
                <w:szCs w:val="24"/>
                <w:lang w:eastAsia="x-none"/>
              </w:rPr>
              <w:t>5. Сертификация и комплектация</w:t>
            </w:r>
          </w:p>
          <w:p>
            <w:pPr>
              <w:pStyle w:val="Normal"/>
              <w:widowControl w:val="false"/>
              <w:numPr>
                <w:ilvl w:val="0"/>
                <w:numId w:val="8"/>
              </w:numPr>
              <w:jc w:val="both"/>
              <w:rPr>
                <w:i/>
                <w:iCs/>
                <w:color w:val="001A34"/>
                <w:sz w:val="24"/>
                <w:szCs w:val="24"/>
                <w:lang w:eastAsia="x-none"/>
              </w:rPr>
            </w:pPr>
            <w:r>
              <w:rPr>
                <w:i/>
                <w:iCs/>
                <w:color w:val="001A34"/>
                <w:sz w:val="24"/>
                <w:szCs w:val="24"/>
                <w:lang w:eastAsia="x-none"/>
              </w:rPr>
              <w:t>Сертификаты: Обязательное наличие действующего сертификата соответствия ТР ТС (ЕАЭС) на детские игрушки / детскую электронику.</w:t>
            </w:r>
          </w:p>
          <w:p>
            <w:pPr>
              <w:pStyle w:val="Normal"/>
              <w:widowControl w:val="false"/>
              <w:numPr>
                <w:ilvl w:val="0"/>
                <w:numId w:val="8"/>
              </w:numPr>
              <w:jc w:val="both"/>
              <w:rPr>
                <w:i/>
                <w:iCs/>
                <w:color w:val="001A34"/>
                <w:sz w:val="24"/>
                <w:szCs w:val="24"/>
                <w:lang w:eastAsia="x-none"/>
              </w:rPr>
            </w:pPr>
            <w:r>
              <w:rPr>
                <w:i/>
                <w:iCs/>
                <w:color w:val="001A34"/>
                <w:sz w:val="24"/>
                <w:szCs w:val="24"/>
                <w:lang w:eastAsia="x-none"/>
              </w:rPr>
              <w:t>Язык: Инструкция по эксплуатации и трафареты для рисования полностью на русском языке.</w:t>
            </w:r>
          </w:p>
          <w:p>
            <w:pPr>
              <w:pStyle w:val="Normal"/>
              <w:widowControl w:val="false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color w:val="001A34"/>
                <w:sz w:val="24"/>
                <w:szCs w:val="24"/>
                <w:lang w:eastAsia="x-none"/>
              </w:rPr>
              <w:t>Комплект поставки: 3D-ручка, кабель питания, стартовый набор разноцветного безопасного пластика (не менее 3 цветов), книга с трафаретами (шаблонами), подставка для ручки, защитные напальчники (желательно)</w:t>
            </w:r>
          </w:p>
        </w:tc>
        <w:tc>
          <w:tcPr>
            <w:tcW w:w="1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 xml:space="preserve">Указание характеристик </w:t>
            </w:r>
          </w:p>
        </w:tc>
        <w:tc>
          <w:tcPr>
            <w:tcW w:w="25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</w:r>
          </w:p>
        </w:tc>
        <w:tc>
          <w:tcPr>
            <w:tcW w:w="23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9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 w:val="false"/>
              <w:numPr>
                <w:ilvl w:val="1"/>
                <w:numId w:val="6"/>
              </w:numPr>
              <w:spacing w:before="60" w:after="60"/>
              <w:ind w:hanging="567" w:start="714" w:end="0"/>
              <w:contextualSpacing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</w:r>
          </w:p>
        </w:tc>
        <w:tc>
          <w:tcPr>
            <w:tcW w:w="26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47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Необходимо учитывать, что всё содержимое должно помещаться во внешнюю упаковку.</w:t>
            </w:r>
          </w:p>
        </w:tc>
        <w:tc>
          <w:tcPr>
            <w:tcW w:w="1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Согласие с требованиями</w:t>
            </w:r>
          </w:p>
        </w:tc>
        <w:tc>
          <w:tcPr>
            <w:tcW w:w="25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</w:r>
          </w:p>
        </w:tc>
        <w:tc>
          <w:tcPr>
            <w:tcW w:w="23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9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 w:val="false"/>
              <w:numPr>
                <w:ilvl w:val="1"/>
                <w:numId w:val="6"/>
              </w:numPr>
              <w:spacing w:before="60" w:after="60"/>
              <w:ind w:hanging="567" w:start="714" w:end="0"/>
              <w:contextualSpacing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</w:r>
          </w:p>
        </w:tc>
        <w:tc>
          <w:tcPr>
            <w:tcW w:w="2649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Набор безопасного PCL-пластика для 3D-ручек</w:t>
            </w:r>
          </w:p>
        </w:tc>
        <w:tc>
          <w:tcPr>
            <w:tcW w:w="47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10"/>
              </w:numPr>
              <w:jc w:val="start"/>
              <w:rPr>
                <w:rFonts w:ascii="Times New Roman" w:hAnsi="Times New Roman" w:eastAsia="Times New Roman" w:cs="Times New Roman"/>
                <w:i/>
                <w:iCs/>
                <w:color w:val="auto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/>
                <w:iCs/>
                <w:color w:val="auto"/>
                <w:kern w:val="0"/>
                <w:sz w:val="24"/>
                <w:szCs w:val="24"/>
                <w:lang w:val="ru-RU" w:eastAsia="ru-RU" w:bidi="ar-SA"/>
              </w:rPr>
              <w:t>20 цветов, 100 м, низкотемпературный</w:t>
            </w:r>
          </w:p>
          <w:p>
            <w:pPr>
              <w:pStyle w:val="Normal"/>
              <w:widowControl w:val="false"/>
              <w:numPr>
                <w:ilvl w:val="0"/>
                <w:numId w:val="10"/>
              </w:numPr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Температура плавления и рабочая температура. в диапазоне 59–64 °C.°</w:t>
            </w:r>
          </w:p>
          <w:p>
            <w:pPr>
              <w:pStyle w:val="Normal"/>
              <w:widowControl w:val="false"/>
              <w:numPr>
                <w:ilvl w:val="0"/>
                <w:numId w:val="10"/>
              </w:numPr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Диаметр стержня. 1,75 мм.</w:t>
            </w:r>
          </w:p>
          <w:p>
            <w:pPr>
              <w:pStyle w:val="Normal"/>
              <w:widowControl w:val="false"/>
              <w:numPr>
                <w:ilvl w:val="0"/>
                <w:numId w:val="10"/>
              </w:numPr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Безопасность и экологичность.</w:t>
            </w:r>
          </w:p>
          <w:p>
            <w:pPr>
              <w:pStyle w:val="Normal"/>
              <w:widowControl w:val="false"/>
              <w:numPr>
                <w:ilvl w:val="1"/>
                <w:numId w:val="10"/>
              </w:numPr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отсутствие токсичных добавок и тяжёлых металлов;</w:t>
            </w:r>
          </w:p>
          <w:p>
            <w:pPr>
              <w:pStyle w:val="Normal"/>
              <w:widowControl w:val="false"/>
              <w:numPr>
                <w:ilvl w:val="1"/>
                <w:numId w:val="10"/>
              </w:numPr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при нагреве не должен выделять резкий или едкий запах (допускается лёгкий нейтральный запах);</w:t>
            </w:r>
          </w:p>
          <w:p>
            <w:pPr>
              <w:pStyle w:val="Normal"/>
              <w:widowControl w:val="false"/>
              <w:numPr>
                <w:ilvl w:val="1"/>
                <w:numId w:val="10"/>
              </w:numPr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соответствие стандартам безопасности для детских изделий (ТР ТС 008/2011 «О безопасности игрушек»).</w:t>
            </w:r>
          </w:p>
          <w:p>
            <w:pPr>
              <w:pStyle w:val="Normal"/>
              <w:widowControl w:val="false"/>
              <w:numPr>
                <w:ilvl w:val="0"/>
                <w:numId w:val="10"/>
              </w:numPr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Упаковка и маркировка. На упаковке должны быть указаны: тип материала (PCL), диаметр стержня, рекомендуемый диапазон температур, срок годности, производитель, сведения о безопасности.</w:t>
            </w:r>
          </w:p>
          <w:p>
            <w:pPr>
              <w:pStyle w:val="Normal"/>
              <w:widowControl w:val="false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</w:r>
          </w:p>
        </w:tc>
        <w:tc>
          <w:tcPr>
            <w:tcW w:w="1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Согласие с требованиями</w:t>
            </w:r>
          </w:p>
        </w:tc>
        <w:tc>
          <w:tcPr>
            <w:tcW w:w="25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</w:r>
          </w:p>
        </w:tc>
        <w:tc>
          <w:tcPr>
            <w:tcW w:w="23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9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 w:val="false"/>
              <w:numPr>
                <w:ilvl w:val="1"/>
                <w:numId w:val="6"/>
              </w:numPr>
              <w:spacing w:before="60" w:after="60"/>
              <w:ind w:hanging="567" w:start="714" w:end="0"/>
              <w:contextualSpacing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</w:r>
          </w:p>
        </w:tc>
        <w:tc>
          <w:tcPr>
            <w:tcW w:w="26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47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start="720" w:end="0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Необходимо учитывать, что всё содержимое должно помещаться во внешнюю упаковку.</w:t>
            </w:r>
          </w:p>
        </w:tc>
        <w:tc>
          <w:tcPr>
            <w:tcW w:w="1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Согласие с требованиями</w:t>
            </w:r>
          </w:p>
        </w:tc>
        <w:tc>
          <w:tcPr>
            <w:tcW w:w="25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</w:r>
          </w:p>
        </w:tc>
        <w:tc>
          <w:tcPr>
            <w:tcW w:w="23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</w:r>
          </w:p>
        </w:tc>
      </w:tr>
      <w:tr>
        <w:trPr>
          <w:trHeight w:val="4480" w:hRule="atLeast"/>
        </w:trPr>
        <w:tc>
          <w:tcPr>
            <w:tcW w:w="9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 w:val="false"/>
              <w:numPr>
                <w:ilvl w:val="1"/>
                <w:numId w:val="6"/>
              </w:numPr>
              <w:spacing w:before="60" w:after="60"/>
              <w:ind w:hanging="567" w:start="714" w:end="0"/>
              <w:contextualSpacing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</w:r>
          </w:p>
        </w:tc>
        <w:tc>
          <w:tcPr>
            <w:tcW w:w="2649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Ночник</w:t>
            </w:r>
          </w:p>
        </w:tc>
        <w:tc>
          <w:tcPr>
            <w:tcW w:w="47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9"/>
              </w:numPr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Наименование: Светильник-проектор «Астронавт» (сидящий) или эквивалент.</w:t>
            </w:r>
          </w:p>
          <w:p>
            <w:pPr>
              <w:pStyle w:val="Normal"/>
              <w:widowControl w:val="false"/>
              <w:numPr>
                <w:ilvl w:val="0"/>
                <w:numId w:val="9"/>
              </w:numPr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Источник света: LED (туманность, ≥ 8 режимов) + Лазер (звезды).</w:t>
            </w:r>
          </w:p>
          <w:p>
            <w:pPr>
              <w:pStyle w:val="Normal"/>
              <w:widowControl w:val="false"/>
              <w:numPr>
                <w:ilvl w:val="0"/>
                <w:numId w:val="9"/>
              </w:numPr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Конструкция: Голова на магните (вращение 360°), руки подвижные.</w:t>
            </w:r>
          </w:p>
          <w:p>
            <w:pPr>
              <w:pStyle w:val="Normal"/>
              <w:widowControl w:val="false"/>
              <w:numPr>
                <w:ilvl w:val="0"/>
                <w:numId w:val="9"/>
              </w:numPr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Управление: Кнопки на корпусе + ИК-пульт (таймер 45/90 мин).</w:t>
            </w:r>
          </w:p>
          <w:p>
            <w:pPr>
              <w:pStyle w:val="Normal"/>
              <w:widowControl w:val="false"/>
              <w:numPr>
                <w:ilvl w:val="0"/>
                <w:numId w:val="9"/>
              </w:numPr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Питание: USB (5V/1A), кабель в комплекте.</w:t>
            </w:r>
          </w:p>
          <w:p>
            <w:pPr>
              <w:pStyle w:val="Normal"/>
              <w:widowControl w:val="false"/>
              <w:numPr>
                <w:ilvl w:val="0"/>
                <w:numId w:val="9"/>
              </w:numPr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Материал: ABS/PC пластик, без запаха, безопасный для детей.</w:t>
            </w:r>
          </w:p>
          <w:p>
            <w:pPr>
              <w:pStyle w:val="Normal"/>
              <w:widowControl w:val="false"/>
              <w:numPr>
                <w:ilvl w:val="0"/>
                <w:numId w:val="9"/>
              </w:numPr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Комплектация: Ночник, пульт, USB-кабель, инструкция, коробка.</w:t>
            </w:r>
          </w:p>
          <w:p>
            <w:pPr>
              <w:pStyle w:val="Normal"/>
              <w:widowControl w:val="false"/>
              <w:numPr>
                <w:ilvl w:val="0"/>
                <w:numId w:val="9"/>
              </w:numPr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Сертификация: EAC (ТР ТС 004/2011, 020/2011).</w:t>
            </w:r>
          </w:p>
          <w:p>
            <w:pPr>
              <w:pStyle w:val="Normal"/>
              <w:widowControl w:val="false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</w:r>
          </w:p>
        </w:tc>
        <w:tc>
          <w:tcPr>
            <w:tcW w:w="1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Указание характеристик, включая наименование, марку/тип</w:t>
            </w:r>
          </w:p>
        </w:tc>
        <w:tc>
          <w:tcPr>
            <w:tcW w:w="25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</w:r>
          </w:p>
        </w:tc>
        <w:tc>
          <w:tcPr>
            <w:tcW w:w="23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9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widowControl w:val="false"/>
              <w:numPr>
                <w:ilvl w:val="1"/>
                <w:numId w:val="6"/>
              </w:numPr>
              <w:spacing w:before="60" w:after="60"/>
              <w:ind w:hanging="567" w:start="714" w:end="0"/>
              <w:contextualSpacing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</w:r>
          </w:p>
        </w:tc>
        <w:tc>
          <w:tcPr>
            <w:tcW w:w="26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47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start="720" w:end="0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Необходимо учитывать, что всё содержимое должно помещаться во внешнюю упаковку.</w:t>
            </w:r>
          </w:p>
        </w:tc>
        <w:tc>
          <w:tcPr>
            <w:tcW w:w="1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Согласие с требованиями</w:t>
            </w:r>
          </w:p>
        </w:tc>
        <w:tc>
          <w:tcPr>
            <w:tcW w:w="25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</w:r>
          </w:p>
        </w:tc>
        <w:tc>
          <w:tcPr>
            <w:tcW w:w="23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60" w:after="60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2</w:t>
            </w:r>
          </w:p>
        </w:tc>
        <w:tc>
          <w:tcPr>
            <w:tcW w:w="7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Необходимые технические характеристики и количество закупаемой Продукции:</w:t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i/>
                <w:iCs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  <w:t>-//-</w:t>
            </w:r>
          </w:p>
        </w:tc>
        <w:tc>
          <w:tcPr>
            <w:tcW w:w="2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  <w:t>-//-</w:t>
            </w:r>
          </w:p>
        </w:tc>
        <w:tc>
          <w:tcPr>
            <w:tcW w:w="2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  <w:t>-//-</w:t>
            </w:r>
          </w:p>
        </w:tc>
      </w:tr>
      <w:tr>
        <w:trPr/>
        <w:tc>
          <w:tcPr>
            <w:tcW w:w="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60" w:after="60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2.1</w:t>
            </w:r>
          </w:p>
        </w:tc>
        <w:tc>
          <w:tcPr>
            <w:tcW w:w="26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/>
            </w:pPr>
            <w:r>
              <w:rPr/>
            </w:r>
          </w:p>
        </w:tc>
        <w:tc>
          <w:tcPr>
            <w:tcW w:w="47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  <w:lang w:eastAsia="x-none"/>
              </w:rPr>
              <w:t>-</w:t>
            </w:r>
            <w:r>
              <w:rPr>
                <w:i/>
                <w:iCs/>
                <w:color w:val="000000"/>
                <w:sz w:val="24"/>
                <w:szCs w:val="24"/>
                <w:lang w:val="x-none" w:eastAsia="x-none"/>
              </w:rPr>
              <w:t>Качество и комплектность     поставляемой Продукции должны соответствовать установленным требованиями таблицы № 2 настоящих Технических требований, действующим стандартам качества, ГОСТам, техническим условиям (ТУ), медико-биологическим и санитарным нормам, установленным в Российской Федерации.</w:t>
            </w:r>
          </w:p>
          <w:p>
            <w:pPr>
              <w:pStyle w:val="Normal"/>
              <w:widowControl w:val="false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  <w:lang w:eastAsia="x-none"/>
              </w:rPr>
              <w:t>-</w:t>
            </w:r>
            <w:r>
              <w:rPr>
                <w:i/>
                <w:iCs/>
                <w:color w:val="000000"/>
                <w:sz w:val="24"/>
                <w:szCs w:val="24"/>
              </w:rPr>
              <w:t xml:space="preserve"> Каждое кондитерское изделие, входящее в новогодний подарок, должно быть упаковано в оберточный материал (флоу-пак или гигиеничная заводская упаковка, соответствующая данному типу кондитерского изделия, обеспечивающая сохранность пищевого продукта)</w:t>
            </w:r>
          </w:p>
          <w:p>
            <w:pPr>
              <w:pStyle w:val="Normal"/>
              <w:widowControl w:val="false"/>
              <w:jc w:val="both"/>
              <w:rPr>
                <w:i/>
                <w:iCs/>
                <w:color w:val="000000"/>
                <w:sz w:val="24"/>
                <w:szCs w:val="24"/>
                <w:lang w:eastAsia="x-none"/>
              </w:rPr>
            </w:pPr>
            <w:r>
              <w:rPr>
                <w:i/>
                <w:iCs/>
                <w:color w:val="000000"/>
                <w:sz w:val="24"/>
                <w:szCs w:val="24"/>
                <w:lang w:eastAsia="x-none"/>
              </w:rPr>
            </w:r>
          </w:p>
          <w:p>
            <w:pPr>
              <w:pStyle w:val="Normal"/>
              <w:widowControl w:val="false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  <w:lang w:eastAsia="x-none"/>
              </w:rPr>
              <w:t>-</w:t>
            </w:r>
            <w:r>
              <w:rPr>
                <w:i/>
                <w:iCs/>
                <w:color w:val="000000"/>
                <w:sz w:val="24"/>
                <w:szCs w:val="24"/>
                <w:lang w:val="x-none" w:eastAsia="x-none"/>
              </w:rPr>
              <w:t>Поставляемая Продукция должна сопровождаться паспортом на продукцию и подтверждаться сертификатами качества.</w:t>
            </w:r>
          </w:p>
          <w:p>
            <w:pPr>
              <w:pStyle w:val="Normal"/>
              <w:widowControl w:val="false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  <w:lang w:eastAsia="x-none"/>
              </w:rPr>
              <w:t>-</w:t>
            </w:r>
            <w:r>
              <w:rPr>
                <w:i/>
                <w:iCs/>
                <w:color w:val="000000"/>
                <w:sz w:val="24"/>
                <w:szCs w:val="24"/>
              </w:rPr>
              <w:t>Кондитерский набор, поставляемый Поставщиком, должен быть сертифицирован, соответствовать требованиям, предъявляемым действующим законодательством Российской Федерации к санитарным, гигиеническим, иным качественным нормам и потребительским свойствам, безопасности, срокам годности и реализации, а также хранению и транспортировке. Качество товара, используемых материалов, включая упаковку, должно соответствовать:</w:t>
            </w:r>
          </w:p>
          <w:p>
            <w:pPr>
              <w:pStyle w:val="Normal"/>
              <w:widowControl w:val="false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  <w:lang w:eastAsia="x-none"/>
              </w:rPr>
              <w:t>- Федеральному закону № 29-ФЗ от 02.01.2000 г. «О качестве и безопасности пищевых продуктов»;</w:t>
            </w:r>
          </w:p>
          <w:p>
            <w:pPr>
              <w:pStyle w:val="Normal"/>
              <w:widowControl w:val="false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  <w:lang w:eastAsia="x-none"/>
              </w:rPr>
              <w:t>-</w:t>
            </w:r>
            <w:r>
              <w:rPr>
                <w:i/>
                <w:iCs/>
                <w:sz w:val="24"/>
                <w:szCs w:val="24"/>
              </w:rPr>
              <w:t xml:space="preserve"> </w:t>
            </w:r>
            <w:r>
              <w:rPr>
                <w:i/>
                <w:iCs/>
                <w:color w:val="000000"/>
                <w:sz w:val="24"/>
                <w:szCs w:val="24"/>
                <w:lang w:eastAsia="x-none"/>
              </w:rPr>
              <w:t>Мармелад должен быть изготовлен в соответствии с требованиями ГОСТ 6442-2014 «Мармелад».</w:t>
            </w:r>
          </w:p>
          <w:p>
            <w:pPr>
              <w:pStyle w:val="Normal"/>
              <w:widowControl w:val="false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  <w:lang w:eastAsia="x-none"/>
              </w:rPr>
              <w:t xml:space="preserve">- Шоколад должен быть изготовлен в соответствии с требованиями </w:t>
            </w:r>
            <w:r>
              <w:rPr>
                <w:i/>
                <w:iCs/>
                <w:color w:val="000000"/>
                <w:sz w:val="24"/>
                <w:szCs w:val="24"/>
              </w:rPr>
              <w:t>ГОСТ Р 70337-2022 «Шоколад. Общие технические условия»</w:t>
            </w:r>
            <w:r>
              <w:rPr>
                <w:i/>
                <w:iCs/>
                <w:color w:val="000000"/>
                <w:sz w:val="24"/>
                <w:szCs w:val="24"/>
                <w:lang w:eastAsia="x-none"/>
              </w:rPr>
              <w:t>.</w:t>
            </w:r>
          </w:p>
          <w:p>
            <w:pPr>
              <w:pStyle w:val="Normal"/>
              <w:widowControl w:val="false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  <w:lang w:eastAsia="x-none"/>
              </w:rPr>
              <w:t>-Карамель должна быть изготовлена в соответствии с требованиями ГОСТ 6477-2019 «Карамель».</w:t>
            </w:r>
          </w:p>
          <w:p>
            <w:pPr>
              <w:pStyle w:val="Normal"/>
              <w:widowControl w:val="false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  <w:lang w:eastAsia="x-none"/>
              </w:rPr>
              <w:t>-</w:t>
            </w:r>
            <w:r>
              <w:rPr>
                <w:i/>
                <w:iCs/>
                <w:sz w:val="24"/>
                <w:szCs w:val="24"/>
              </w:rPr>
              <w:t xml:space="preserve"> </w:t>
            </w:r>
            <w:r>
              <w:rPr>
                <w:i/>
                <w:iCs/>
                <w:color w:val="000000"/>
                <w:sz w:val="24"/>
                <w:szCs w:val="24"/>
              </w:rPr>
              <w:t>ГОСТ 4570-2014 «Конфеты. Общие технические условия». Общие требования безопасности и методы контроля» , Санитарно-эпидемиологическим правилам и нормативам «Гигиенические требования к</w:t>
            </w:r>
            <w:r>
              <w:rPr>
                <w:i/>
                <w:iCs/>
                <w:color w:val="FF0000"/>
                <w:sz w:val="24"/>
                <w:szCs w:val="24"/>
              </w:rPr>
              <w:t xml:space="preserve"> </w:t>
            </w:r>
            <w:r>
              <w:rPr>
                <w:i/>
                <w:iCs/>
                <w:color w:val="000000"/>
                <w:sz w:val="24"/>
                <w:szCs w:val="24"/>
              </w:rPr>
              <w:t>безопасности и пищевой ценности пищевых продуктов. СанПиН 2.3.2.1078-01»</w:t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color w:val="000000"/>
                <w:sz w:val="24"/>
                <w:szCs w:val="24"/>
              </w:rPr>
              <w:t>Согласие с требованиями</w:t>
            </w:r>
          </w:p>
        </w:tc>
        <w:tc>
          <w:tcPr>
            <w:tcW w:w="2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  <w:t>-//-</w:t>
            </w:r>
          </w:p>
        </w:tc>
        <w:tc>
          <w:tcPr>
            <w:tcW w:w="2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60" w:after="60"/>
              <w:contextualSpacing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rFonts w:eastAsia="Calibri"/>
                <w:b/>
                <w:bCs/>
                <w:i/>
                <w:iCs/>
                <w:color w:val="000000"/>
                <w:sz w:val="24"/>
                <w:szCs w:val="24"/>
              </w:rPr>
              <w:t>3.</w:t>
            </w:r>
          </w:p>
        </w:tc>
        <w:tc>
          <w:tcPr>
            <w:tcW w:w="7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Требования к доставке, маркировке, упаковке, транспортировке, перемещению, условиям хранения, приемке и испытаниям</w:t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  <w:t>-//-</w:t>
            </w:r>
          </w:p>
        </w:tc>
        <w:tc>
          <w:tcPr>
            <w:tcW w:w="2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  <w:t>-//-</w:t>
            </w:r>
          </w:p>
        </w:tc>
        <w:tc>
          <w:tcPr>
            <w:tcW w:w="2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  <w:t>-//-</w:t>
            </w:r>
          </w:p>
        </w:tc>
      </w:tr>
      <w:tr>
        <w:trPr>
          <w:trHeight w:val="1365" w:hRule="atLeast"/>
        </w:trPr>
        <w:tc>
          <w:tcPr>
            <w:tcW w:w="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60" w:after="60"/>
              <w:contextualSpacing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rFonts w:eastAsia="Calibri"/>
                <w:i/>
                <w:iCs/>
                <w:color w:val="000000"/>
                <w:sz w:val="24"/>
                <w:szCs w:val="24"/>
              </w:rPr>
              <w:t>3.1</w:t>
            </w:r>
          </w:p>
        </w:tc>
        <w:tc>
          <w:tcPr>
            <w:tcW w:w="26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Адрес поставки </w:t>
            </w:r>
          </w:p>
        </w:tc>
        <w:tc>
          <w:tcPr>
            <w:tcW w:w="47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Организация транспортировки от склада Поставщика до пункта назначения осуществляется силами Поставщика в соответствии с количеством  (Приложением № 2 к настоящему Техническому требованию).</w:t>
            </w:r>
          </w:p>
          <w:p>
            <w:pPr>
              <w:pStyle w:val="Normal"/>
              <w:widowControl w:val="false"/>
              <w:jc w:val="both"/>
              <w:rPr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Продукция должна быть доставлена Поставщиком по адресу:</w:t>
            </w:r>
          </w:p>
          <w:p>
            <w:pPr>
              <w:pStyle w:val="Normal"/>
              <w:widowControl w:val="false"/>
              <w:jc w:val="both"/>
              <w:rPr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- для филиала в г. Хабаровске: Склад, расположенный по адресу: 680006, г. Хабаровск, ул. Урицкого, д. 23;</w:t>
            </w:r>
          </w:p>
          <w:p>
            <w:pPr>
              <w:pStyle w:val="Normal"/>
              <w:widowControl w:val="false"/>
              <w:jc w:val="both"/>
              <w:rPr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both"/>
              <w:rPr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-для ОП в г. Владивостоке: Склад, расположенный по адресу: 690034, г. Владивосток, ул. Фадеева, д.47, ст. 29;</w:t>
            </w:r>
          </w:p>
          <w:p>
            <w:pPr>
              <w:pStyle w:val="Normal"/>
              <w:widowControl w:val="false"/>
              <w:rPr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both"/>
              <w:rPr/>
            </w:pPr>
            <w:r>
              <w:rPr>
                <w:bCs/>
                <w:i/>
                <w:iCs/>
                <w:sz w:val="24"/>
                <w:szCs w:val="24"/>
              </w:rPr>
              <w:t>-для ОП в г. Партизанске: Склад, расположенный по адресу</w:t>
            </w:r>
            <w:r>
              <w:rPr>
                <w:bCs/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692860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Приморский край г. Партизанск, ул. Свердлова, д.2</w:t>
            </w:r>
          </w:p>
          <w:p>
            <w:pPr>
              <w:pStyle w:val="Normal"/>
              <w:widowControl w:val="false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both"/>
              <w:rPr/>
            </w:pPr>
            <w:r>
              <w:rPr>
                <w:bCs/>
                <w:i/>
                <w:iCs/>
                <w:sz w:val="24"/>
                <w:szCs w:val="24"/>
              </w:rPr>
              <w:t>-для ОП в г. Нерюнгри (резерв): Склад, расположенный по адресу</w:t>
            </w:r>
            <w:r>
              <w:rPr>
                <w:bCs/>
                <w:sz w:val="24"/>
                <w:szCs w:val="24"/>
              </w:rPr>
              <w:t xml:space="preserve">: </w:t>
            </w:r>
            <w:r>
              <w:rPr>
                <w:i/>
                <w:iCs/>
                <w:sz w:val="24"/>
                <w:szCs w:val="24"/>
              </w:rPr>
              <w:t>678995 РС (Я) Нерюнгринский район,  пгт Серебряный бор , промзона  д. 1, Нерюнгрнская ГРЭС</w:t>
            </w:r>
          </w:p>
          <w:p>
            <w:pPr>
              <w:pStyle w:val="Normal"/>
              <w:widowControl w:val="false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</w:r>
          </w:p>
          <w:p>
            <w:pPr>
              <w:pStyle w:val="Normal"/>
              <w:widowControl w:val="false"/>
              <w:rPr/>
            </w:pPr>
            <w:r>
              <w:rPr>
                <w:bCs/>
                <w:i/>
                <w:iCs/>
                <w:sz w:val="24"/>
                <w:szCs w:val="24"/>
              </w:rPr>
              <w:t>-для Исполнительного аппарата и ОП Загорское: Склад, расположенный по адресу</w:t>
            </w:r>
            <w:r>
              <w:rPr>
                <w:bCs/>
                <w:sz w:val="24"/>
                <w:szCs w:val="24"/>
              </w:rPr>
              <w:t xml:space="preserve">: </w:t>
            </w:r>
            <w:r>
              <w:rPr>
                <w:bCs/>
                <w:i/>
                <w:iCs/>
                <w:sz w:val="24"/>
                <w:szCs w:val="24"/>
              </w:rPr>
              <w:t xml:space="preserve">680017, г. Хабаровск, ул. Ленина, д. 57 литера А1, пом. </w:t>
            </w:r>
            <w:r>
              <w:rPr>
                <w:bCs/>
                <w:i/>
                <w:iCs/>
                <w:sz w:val="24"/>
                <w:szCs w:val="24"/>
                <w:lang w:val="en-US"/>
              </w:rPr>
              <w:t>IV</w:t>
            </w:r>
            <w:r>
              <w:rPr>
                <w:bCs/>
                <w:i/>
                <w:iCs/>
                <w:sz w:val="24"/>
                <w:szCs w:val="24"/>
              </w:rPr>
              <w:t>, 4 этаж</w:t>
            </w:r>
          </w:p>
          <w:p>
            <w:pPr>
              <w:pStyle w:val="Normal"/>
              <w:widowControl w:val="false"/>
              <w:jc w:val="both"/>
              <w:rPr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Согласие с требованиями</w:t>
            </w:r>
          </w:p>
        </w:tc>
        <w:tc>
          <w:tcPr>
            <w:tcW w:w="2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  <w:t>-//-</w:t>
            </w:r>
          </w:p>
        </w:tc>
        <w:tc>
          <w:tcPr>
            <w:tcW w:w="2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60" w:after="60"/>
              <w:contextualSpacing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rFonts w:eastAsia="Calibri"/>
                <w:i/>
                <w:iCs/>
                <w:color w:val="000000"/>
                <w:sz w:val="24"/>
                <w:szCs w:val="24"/>
              </w:rPr>
              <w:t>3.2</w:t>
            </w:r>
          </w:p>
        </w:tc>
        <w:tc>
          <w:tcPr>
            <w:tcW w:w="7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Маркировка каждой единицы упаковки товара в КОНДИТЕРСКОМ НАБОРЕ должна быть на русском языке, четкой, легко читаемой и содержать информацию согласно требованиям ГОСТ Р 51074-2003 «Продукты пищевые. Информация для потребителя. Общие требования», в том числе содержать информацию о веществах или продуктах, используемых в качестве ингредиентов, которые могут способствовать возникновению аллергических реакций.</w:t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Согласие с требованиями</w:t>
            </w:r>
          </w:p>
        </w:tc>
        <w:tc>
          <w:tcPr>
            <w:tcW w:w="2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  <w:t>-//-</w:t>
            </w:r>
          </w:p>
        </w:tc>
        <w:tc>
          <w:tcPr>
            <w:tcW w:w="2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60" w:after="60"/>
              <w:contextualSpacing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rFonts w:eastAsia="Calibri"/>
                <w:i/>
                <w:iCs/>
                <w:color w:val="000000"/>
                <w:sz w:val="24"/>
                <w:szCs w:val="24"/>
              </w:rPr>
              <w:t>3.3</w:t>
            </w:r>
          </w:p>
        </w:tc>
        <w:tc>
          <w:tcPr>
            <w:tcW w:w="7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  <w:lang w:eastAsia="x-none"/>
              </w:rPr>
              <w:t>Продукция</w:t>
            </w:r>
            <w:r>
              <w:rPr>
                <w:i/>
                <w:iCs/>
                <w:color w:val="000000"/>
                <w:sz w:val="24"/>
                <w:szCs w:val="24"/>
                <w:lang w:val="x-none" w:eastAsia="x-none"/>
              </w:rPr>
              <w:t xml:space="preserve"> </w:t>
            </w:r>
            <w:r>
              <w:rPr>
                <w:i/>
                <w:iCs/>
                <w:color w:val="000000"/>
                <w:sz w:val="24"/>
                <w:szCs w:val="24"/>
                <w:lang w:eastAsia="x-none"/>
              </w:rPr>
              <w:t xml:space="preserve">должна </w:t>
            </w:r>
            <w:r>
              <w:rPr>
                <w:i/>
                <w:iCs/>
                <w:color w:val="000000"/>
                <w:sz w:val="24"/>
                <w:szCs w:val="24"/>
                <w:lang w:val="x-none" w:eastAsia="x-none"/>
              </w:rPr>
              <w:t>быть новой и ранее не использованной, без повреждений.</w:t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Согласие с требованиями</w:t>
            </w:r>
          </w:p>
        </w:tc>
        <w:tc>
          <w:tcPr>
            <w:tcW w:w="2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  <w:t>-//-</w:t>
            </w:r>
          </w:p>
        </w:tc>
        <w:tc>
          <w:tcPr>
            <w:tcW w:w="2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60" w:after="60"/>
              <w:contextualSpacing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rFonts w:eastAsia="Calibri"/>
                <w:i/>
                <w:iCs/>
                <w:color w:val="000000"/>
                <w:sz w:val="24"/>
                <w:szCs w:val="24"/>
              </w:rPr>
              <w:t>3.4</w:t>
            </w:r>
          </w:p>
        </w:tc>
        <w:tc>
          <w:tcPr>
            <w:tcW w:w="7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  <w:lang w:eastAsia="x-none"/>
              </w:rPr>
              <w:t>Продукция должна</w:t>
            </w:r>
            <w:r>
              <w:rPr>
                <w:i/>
                <w:iCs/>
                <w:color w:val="000000"/>
                <w:sz w:val="24"/>
                <w:szCs w:val="24"/>
                <w:lang w:val="x-none" w:eastAsia="x-none"/>
              </w:rPr>
              <w:t xml:space="preserve"> быть поставлен</w:t>
            </w:r>
            <w:r>
              <w:rPr>
                <w:i/>
                <w:iCs/>
                <w:color w:val="000000"/>
                <w:sz w:val="24"/>
                <w:szCs w:val="24"/>
                <w:lang w:eastAsia="x-none"/>
              </w:rPr>
              <w:t>а</w:t>
            </w:r>
            <w:r>
              <w:rPr>
                <w:i/>
                <w:iCs/>
                <w:color w:val="000000"/>
                <w:sz w:val="24"/>
                <w:szCs w:val="24"/>
                <w:lang w:val="x-none" w:eastAsia="x-none"/>
              </w:rPr>
              <w:t xml:space="preserve"> в упаковке производителя, не нарушенной, без следов воздействия влаги</w:t>
            </w:r>
            <w:r>
              <w:rPr>
                <w:i/>
                <w:iCs/>
                <w:color w:val="000000"/>
                <w:sz w:val="24"/>
                <w:szCs w:val="24"/>
                <w:lang w:eastAsia="x-none"/>
              </w:rPr>
              <w:t>. Транспортная упаковка должна обеспечивать полную сохранность товара на весь срок его транспортировки с учетом перегрузок и хранения, выполняться с учетом размера и формы изделия. Упаковка товара должна соответствовать требованиям законодательных, нормативных и/или технических документов, устанавливающих возможность её применения для упаковки продуктов, отвечать требованиям</w:t>
            </w:r>
            <w:r>
              <w:rPr>
                <w:i/>
                <w:iCs/>
                <w:color w:val="FF0000"/>
                <w:sz w:val="24"/>
                <w:szCs w:val="24"/>
                <w:lang w:eastAsia="x-none"/>
              </w:rPr>
              <w:t xml:space="preserve"> </w:t>
            </w:r>
            <w:r>
              <w:rPr>
                <w:i/>
                <w:iCs/>
                <w:color w:val="000000"/>
                <w:sz w:val="24"/>
                <w:szCs w:val="24"/>
                <w:lang w:eastAsia="x-none"/>
              </w:rPr>
              <w:t>безопасности жизни, здоровья и охраны окружающей среды, иметь необходимые маркировки, наклейки, а также давать возможность определить количество содержащегося в ней товара. Упаковка является невозвратной и входит в стоимость поставляемого товара.</w:t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Согласие с требованиями</w:t>
            </w:r>
          </w:p>
        </w:tc>
        <w:tc>
          <w:tcPr>
            <w:tcW w:w="2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60" w:after="0"/>
              <w:jc w:val="center"/>
              <w:rPr>
                <w:i/>
                <w:iCs/>
                <w:sz w:val="24"/>
                <w:szCs w:val="24"/>
              </w:rPr>
            </w:pPr>
            <w:bookmarkStart w:id="57" w:name="__RefHeading___Toc11258_1074701108"/>
            <w:bookmarkEnd w:id="57"/>
            <w:r>
              <w:rPr>
                <w:b/>
                <w:i/>
                <w:iCs/>
                <w:color w:val="000000"/>
                <w:sz w:val="24"/>
                <w:szCs w:val="24"/>
              </w:rPr>
              <w:t>-//-</w:t>
            </w:r>
          </w:p>
        </w:tc>
        <w:tc>
          <w:tcPr>
            <w:tcW w:w="2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60" w:after="60"/>
              <w:contextualSpacing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rFonts w:eastAsia="Calibri"/>
                <w:i/>
                <w:iCs/>
                <w:color w:val="000000"/>
                <w:sz w:val="24"/>
                <w:szCs w:val="24"/>
              </w:rPr>
              <w:t>3.5</w:t>
            </w:r>
          </w:p>
        </w:tc>
        <w:tc>
          <w:tcPr>
            <w:tcW w:w="7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rFonts w:eastAsia="Calibri"/>
                <w:i/>
                <w:iCs/>
                <w:sz w:val="24"/>
                <w:szCs w:val="24"/>
                <w:lang w:eastAsia="en-US"/>
              </w:rPr>
              <w:t>Поставка продукции осуществляется силами и средствами Поставщика в сроки, указанные в столбце 4 Таблицы №2.1 настоящих ТТ.</w:t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Согласие с требованиями</w:t>
            </w:r>
          </w:p>
        </w:tc>
        <w:tc>
          <w:tcPr>
            <w:tcW w:w="2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60" w:after="0"/>
              <w:jc w:val="center"/>
              <w:rPr>
                <w:b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60" w:after="0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  <w:t>-//-</w:t>
            </w:r>
          </w:p>
        </w:tc>
        <w:tc>
          <w:tcPr>
            <w:tcW w:w="2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60" w:after="0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60" w:after="60"/>
              <w:contextualSpacing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rFonts w:eastAsia="Calibri"/>
                <w:b/>
                <w:bCs/>
                <w:i/>
                <w:iCs/>
                <w:color w:val="000000"/>
                <w:sz w:val="24"/>
                <w:szCs w:val="24"/>
              </w:rPr>
              <w:t>4.</w:t>
            </w:r>
          </w:p>
        </w:tc>
        <w:tc>
          <w:tcPr>
            <w:tcW w:w="7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60" w:after="0"/>
              <w:rPr>
                <w:i/>
                <w:iCs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  <w:t>Требования к гарантиям, гарантийному и послегарантийному обслуживанию</w:t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0" w:after="0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  <w:t>-//-</w:t>
            </w:r>
          </w:p>
        </w:tc>
        <w:tc>
          <w:tcPr>
            <w:tcW w:w="2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0" w:after="0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  <w:t>-//-</w:t>
            </w:r>
          </w:p>
        </w:tc>
        <w:tc>
          <w:tcPr>
            <w:tcW w:w="2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0" w:after="0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  <w:t>-//-</w:t>
            </w:r>
          </w:p>
        </w:tc>
      </w:tr>
      <w:tr>
        <w:trPr/>
        <w:tc>
          <w:tcPr>
            <w:tcW w:w="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60" w:after="60"/>
              <w:contextualSpacing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rFonts w:eastAsia="Calibri"/>
                <w:i/>
                <w:iCs/>
                <w:color w:val="000000"/>
                <w:sz w:val="24"/>
                <w:szCs w:val="24"/>
              </w:rPr>
              <w:t>4.1</w:t>
            </w:r>
          </w:p>
        </w:tc>
        <w:tc>
          <w:tcPr>
            <w:tcW w:w="7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317" w:leader="none"/>
              </w:tabs>
              <w:ind w:hanging="0" w:start="0" w:end="-2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Срок </w:t>
            </w:r>
            <w:bookmarkStart w:id="58" w:name="_Hlk211603155"/>
            <w:r>
              <w:rPr>
                <w:i/>
                <w:iCs/>
                <w:sz w:val="24"/>
                <w:szCs w:val="24"/>
              </w:rPr>
              <w:t>годности детских новогодних подарков, на дату поставки товара, должен составлять не менее 6 (шести) месяцев от срока годности, установленного заводом изготовителем.</w:t>
            </w:r>
            <w:bookmarkEnd w:id="58"/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Согласие с требованиями</w:t>
            </w:r>
          </w:p>
        </w:tc>
        <w:tc>
          <w:tcPr>
            <w:tcW w:w="2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40" w:after="0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  <w:t>-//-</w:t>
            </w:r>
          </w:p>
        </w:tc>
        <w:tc>
          <w:tcPr>
            <w:tcW w:w="2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60" w:after="60"/>
              <w:ind w:hanging="0" w:start="0"/>
              <w:outlineLvl w:val="2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9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60" w:after="60"/>
              <w:contextualSpacing/>
              <w:jc w:val="center"/>
              <w:rPr>
                <w:rFonts w:eastAsia="Calibri"/>
                <w:i/>
                <w:iCs/>
                <w:color w:val="000000"/>
                <w:sz w:val="24"/>
                <w:szCs w:val="24"/>
              </w:rPr>
            </w:pPr>
            <w:r>
              <w:rPr>
                <w:rFonts w:eastAsia="Calibri"/>
                <w:i/>
                <w:iCs/>
                <w:color w:val="000000"/>
                <w:sz w:val="24"/>
                <w:szCs w:val="24"/>
              </w:rPr>
              <w:t>4.2</w:t>
            </w:r>
          </w:p>
        </w:tc>
        <w:tc>
          <w:tcPr>
            <w:tcW w:w="7381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Качество должно соответствовать стандартам, а также требованиям к качеству поставляемого товара, обычно предъявляемым к товару подобного рода.</w:t>
            </w:r>
          </w:p>
          <w:p>
            <w:pPr>
              <w:pStyle w:val="Normal"/>
              <w:widowControl w:val="false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При приеме продукции на склад Заказчик осуществляет проведение контрольной проверки подарка на предмет соответствия предлагаемой в составе заявки на участие в закупке и фактически поставленной продукции.</w:t>
            </w:r>
          </w:p>
          <w:p>
            <w:pPr>
              <w:pStyle w:val="Normal"/>
              <w:widowControl w:val="false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 случае выявления дефектов/несоответствий товара, в том числе и скрытых, Исполнитель обязан за свой счет заменить поставленную продукцию.</w:t>
            </w:r>
          </w:p>
        </w:tc>
        <w:tc>
          <w:tcPr>
            <w:tcW w:w="1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Согласие с требованиями</w:t>
            </w:r>
          </w:p>
        </w:tc>
        <w:tc>
          <w:tcPr>
            <w:tcW w:w="25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40" w:after="0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</w:r>
          </w:p>
        </w:tc>
        <w:tc>
          <w:tcPr>
            <w:tcW w:w="23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60" w:after="60"/>
              <w:ind w:hanging="0" w:start="0"/>
              <w:outlineLvl w:val="2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60" w:after="60"/>
              <w:contextualSpacing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  <w:t>5.</w:t>
            </w:r>
          </w:p>
        </w:tc>
        <w:tc>
          <w:tcPr>
            <w:tcW w:w="7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317" w:leader="none"/>
              </w:tabs>
              <w:ind w:hanging="0" w:start="0" w:end="-2"/>
              <w:rPr>
                <w:i/>
                <w:iCs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  <w:t>Требования к Победителю закупки, установленные Заказчиком</w:t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  <w:t>-//-</w:t>
            </w:r>
          </w:p>
        </w:tc>
        <w:tc>
          <w:tcPr>
            <w:tcW w:w="2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40" w:after="0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  <w:t>-//-</w:t>
            </w:r>
          </w:p>
        </w:tc>
        <w:tc>
          <w:tcPr>
            <w:tcW w:w="2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40" w:after="0"/>
              <w:jc w:val="center"/>
              <w:rPr>
                <w:i/>
                <w:iCs/>
                <w:sz w:val="24"/>
                <w:szCs w:val="24"/>
              </w:rPr>
            </w:pPr>
            <w:bookmarkStart w:id="59" w:name="__RefHeading___Toc11260_1074701108"/>
            <w:bookmarkEnd w:id="59"/>
            <w:r>
              <w:rPr>
                <w:b/>
                <w:i/>
                <w:iCs/>
                <w:color w:val="000000"/>
                <w:sz w:val="24"/>
                <w:szCs w:val="24"/>
              </w:rPr>
              <w:t>-//-</w:t>
            </w:r>
          </w:p>
        </w:tc>
      </w:tr>
      <w:tr>
        <w:trPr>
          <w:trHeight w:val="1860" w:hRule="atLeast"/>
        </w:trPr>
        <w:tc>
          <w:tcPr>
            <w:tcW w:w="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60" w:after="60"/>
              <w:contextualSpacing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rFonts w:eastAsia="Calibri"/>
                <w:i/>
                <w:iCs/>
                <w:color w:val="000000"/>
                <w:sz w:val="24"/>
                <w:szCs w:val="24"/>
              </w:rPr>
              <w:t>5.1.</w:t>
            </w:r>
          </w:p>
        </w:tc>
        <w:tc>
          <w:tcPr>
            <w:tcW w:w="7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В течение </w:t>
            </w:r>
            <w:r>
              <w:rPr>
                <w:i/>
                <w:iCs/>
                <w:color w:val="000000"/>
                <w:sz w:val="24"/>
                <w:szCs w:val="24"/>
              </w:rPr>
              <w:t>10 (десяти) календарных дней</w:t>
            </w:r>
            <w:r>
              <w:rPr>
                <w:i/>
                <w:iCs/>
                <w:color w:val="FF0000"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после опубликования Итогового протокола на официальном сайте: www.zakupki.gov.ru Победитель должен предоставить 1 (один) образец подарка подготовленный в соответствии с настоящими Техническими требованиями по адресу: 680017, Хабаровский край, г. Хабаровск, ул. Ленина, д. 57, помещ. IV (23-58).</w:t>
            </w:r>
          </w:p>
          <w:p>
            <w:pPr>
              <w:pStyle w:val="Normal"/>
              <w:widowControl w:val="false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Заказчик рассматривает предоставленный образец подарка в течение 1 (одного) рабочего дня с момента получения образца.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317" w:leader="none"/>
              </w:tabs>
              <w:ind w:hanging="0" w:start="0" w:end="-2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В случае получения от Заказчика замечаний по представленному образцу новогоднего детского подарка, Победитель должен за свой счет устранить замечания, </w:t>
            </w:r>
            <w:r>
              <w:rPr>
                <w:i/>
                <w:iCs/>
                <w:sz w:val="24"/>
                <w:szCs w:val="24"/>
                <w:shd w:fill="FFFFFF" w:val="clear"/>
              </w:rPr>
              <w:t xml:space="preserve">полученные от Заказчика и в течение </w:t>
            </w:r>
            <w:r>
              <w:rPr>
                <w:i/>
                <w:iCs/>
                <w:color w:val="000000"/>
                <w:sz w:val="24"/>
                <w:szCs w:val="24"/>
                <w:shd w:fill="FFFFFF" w:val="clear"/>
              </w:rPr>
              <w:t>8 (восьми) календарных дней</w:t>
            </w:r>
            <w:r>
              <w:rPr>
                <w:i/>
                <w:iCs/>
                <w:color w:val="FF0000"/>
                <w:sz w:val="24"/>
                <w:szCs w:val="24"/>
                <w:shd w:fill="FFFFFF" w:val="clear"/>
              </w:rPr>
              <w:t xml:space="preserve"> </w:t>
            </w:r>
            <w:r>
              <w:rPr>
                <w:i/>
                <w:iCs/>
                <w:sz w:val="24"/>
                <w:szCs w:val="24"/>
                <w:shd w:fill="FFFFFF" w:val="clear"/>
              </w:rPr>
              <w:t xml:space="preserve">с момента получения замечаний представить образец </w:t>
            </w:r>
            <w:r>
              <w:rPr>
                <w:i/>
                <w:iCs/>
                <w:sz w:val="24"/>
                <w:szCs w:val="24"/>
              </w:rPr>
              <w:t>новогоднего детского подарка Заказчику на повторное рассмотрение.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317" w:leader="none"/>
              </w:tabs>
              <w:ind w:hanging="0" w:start="0" w:end="-2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Затраты по доставке образцов несет Победитель. Образец возврату не подлежит.</w:t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Согласие с требованиями</w:t>
            </w:r>
          </w:p>
        </w:tc>
        <w:tc>
          <w:tcPr>
            <w:tcW w:w="2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40" w:after="0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  <w:t>-//-</w:t>
            </w:r>
          </w:p>
        </w:tc>
        <w:tc>
          <w:tcPr>
            <w:tcW w:w="2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60" w:after="60"/>
              <w:ind w:hanging="0" w:start="0"/>
              <w:outlineLvl w:val="2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</w:r>
            <w:bookmarkStart w:id="60" w:name="_Toc51339698_Копия_1"/>
            <w:bookmarkStart w:id="61" w:name="_Toc51339698_Копия_1"/>
            <w:bookmarkEnd w:id="61"/>
          </w:p>
        </w:tc>
      </w:tr>
      <w:tr>
        <w:trPr>
          <w:trHeight w:val="1080" w:hRule="atLeast"/>
        </w:trPr>
        <w:tc>
          <w:tcPr>
            <w:tcW w:w="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60" w:after="60"/>
              <w:contextualSpacing/>
              <w:jc w:val="center"/>
              <w:rPr>
                <w:rFonts w:eastAsia="Calibri"/>
                <w:i/>
                <w:iCs/>
                <w:color w:val="000000"/>
                <w:sz w:val="24"/>
                <w:szCs w:val="24"/>
              </w:rPr>
            </w:pPr>
            <w:r>
              <w:rPr>
                <w:rFonts w:eastAsia="Calibri"/>
                <w:i/>
                <w:iCs/>
                <w:color w:val="000000"/>
                <w:sz w:val="24"/>
                <w:szCs w:val="24"/>
              </w:rPr>
              <w:t>5.2.</w:t>
            </w:r>
          </w:p>
        </w:tc>
        <w:tc>
          <w:tcPr>
            <w:tcW w:w="7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Продукция должна сопровождаться документами завода-изготовителя (производителя), удостоверяющими качество поставляемого товара, технической документацией, установленной для данного вида товара.</w:t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Согласие с требованиями</w:t>
            </w:r>
          </w:p>
        </w:tc>
        <w:tc>
          <w:tcPr>
            <w:tcW w:w="2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40" w:after="0"/>
              <w:jc w:val="center"/>
              <w:rPr>
                <w:b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</w:r>
          </w:p>
        </w:tc>
        <w:tc>
          <w:tcPr>
            <w:tcW w:w="2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60" w:after="60"/>
              <w:ind w:hanging="0" w:start="0"/>
              <w:outlineLvl w:val="2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</w:r>
          </w:p>
        </w:tc>
      </w:tr>
      <w:tr>
        <w:trPr>
          <w:trHeight w:val="884" w:hRule="atLeast"/>
        </w:trPr>
        <w:tc>
          <w:tcPr>
            <w:tcW w:w="9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60" w:after="60"/>
              <w:contextualSpacing/>
              <w:jc w:val="center"/>
              <w:rPr>
                <w:rFonts w:eastAsia="Calibri"/>
                <w:i/>
                <w:iCs/>
                <w:color w:val="000000"/>
                <w:sz w:val="24"/>
                <w:szCs w:val="24"/>
              </w:rPr>
            </w:pPr>
            <w:r>
              <w:rPr>
                <w:rFonts w:eastAsia="Calibri"/>
                <w:i/>
                <w:iCs/>
                <w:color w:val="000000"/>
                <w:sz w:val="24"/>
                <w:szCs w:val="24"/>
              </w:rPr>
              <w:t>‍</w:t>
            </w:r>
          </w:p>
        </w:tc>
        <w:tc>
          <w:tcPr>
            <w:tcW w:w="7381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firstLine="709" w:start="0" w:end="0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</w:r>
          </w:p>
        </w:tc>
        <w:tc>
          <w:tcPr>
            <w:tcW w:w="1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</w:r>
          </w:p>
        </w:tc>
        <w:tc>
          <w:tcPr>
            <w:tcW w:w="25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40" w:after="0"/>
              <w:jc w:val="center"/>
              <w:rPr>
                <w:b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</w:r>
          </w:p>
        </w:tc>
        <w:tc>
          <w:tcPr>
            <w:tcW w:w="23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60" w:after="60"/>
              <w:ind w:hanging="0" w:start="0"/>
              <w:outlineLvl w:val="2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</w:r>
          </w:p>
        </w:tc>
      </w:tr>
      <w:tr>
        <w:trPr>
          <w:trHeight w:val="884" w:hRule="atLeast"/>
        </w:trPr>
        <w:tc>
          <w:tcPr>
            <w:tcW w:w="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60" w:after="60"/>
              <w:contextualSpacing/>
              <w:jc w:val="center"/>
              <w:rPr>
                <w:rFonts w:eastAsia="Calibri"/>
                <w:i/>
                <w:iCs/>
                <w:color w:val="000000"/>
                <w:sz w:val="24"/>
                <w:szCs w:val="24"/>
              </w:rPr>
            </w:pPr>
            <w:r>
              <w:rPr>
                <w:rFonts w:eastAsia="Calibri"/>
                <w:i/>
                <w:iCs/>
                <w:color w:val="000000"/>
                <w:sz w:val="24"/>
                <w:szCs w:val="24"/>
              </w:rPr>
              <w:t>‍</w:t>
            </w:r>
          </w:p>
        </w:tc>
        <w:tc>
          <w:tcPr>
            <w:tcW w:w="7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firstLine="709" w:start="0" w:end="0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</w:r>
          </w:p>
        </w:tc>
        <w:tc>
          <w:tcPr>
            <w:tcW w:w="2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40" w:after="0"/>
              <w:jc w:val="center"/>
              <w:rPr>
                <w:b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i/>
                <w:iCs/>
                <w:color w:val="000000"/>
                <w:sz w:val="24"/>
                <w:szCs w:val="24"/>
              </w:rPr>
            </w:r>
          </w:p>
        </w:tc>
        <w:tc>
          <w:tcPr>
            <w:tcW w:w="2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60" w:after="60"/>
              <w:ind w:hanging="0" w:start="0"/>
              <w:outlineLvl w:val="2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  <w:sectPr>
          <w:headerReference w:type="even" r:id="rId7"/>
          <w:headerReference w:type="default" r:id="rId8"/>
          <w:headerReference w:type="first" r:id="rId9"/>
          <w:type w:val="nextPage"/>
          <w:pgSz w:orient="landscape" w:w="16838" w:h="11906"/>
          <w:pgMar w:left="992" w:right="567" w:gutter="0" w:header="680" w:top="851" w:footer="0" w:bottom="851"/>
          <w:pgNumType w:fmt="decimal"/>
          <w:formProt w:val="false"/>
          <w:titlePg/>
          <w:textDirection w:val="lrTb"/>
          <w:docGrid w:type="default" w:linePitch="381" w:charSpace="0"/>
        </w:sectPr>
      </w:pPr>
      <w:r>
        <w:rPr/>
        <w:t>6. В случае если какой-либо из указанных в настоящих Технических требованиях ГОСТ или нормативный документ был заменен/отменен в процессе проведения закупки в связи с выпуском новой редакции стандарта, то Участнику необходимо применять ГОСТ или нормативный документ, принятый в его развитие.</w:t>
      </w:r>
    </w:p>
    <w:p>
      <w:pPr>
        <w:pStyle w:val="Normal"/>
        <w:widowControl w:val="false"/>
        <w:tabs>
          <w:tab w:val="clear" w:pos="708"/>
          <w:tab w:val="left" w:pos="0" w:leader="none"/>
          <w:tab w:val="left" w:pos="284" w:leader="none"/>
          <w:tab w:val="left" w:pos="851" w:leader="none"/>
          <w:tab w:val="left" w:pos="993" w:leader="none"/>
        </w:tabs>
        <w:spacing w:before="120" w:after="0"/>
        <w:ind w:firstLine="567" w:start="0" w:end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both"/>
        <w:rPr>
          <w:b/>
          <w:bCs/>
          <w:sz w:val="24"/>
          <w:szCs w:val="24"/>
          <w:shd w:fill="FFFF00" w:val="clear"/>
        </w:rPr>
      </w:pPr>
      <w:r>
        <w:rPr>
          <w:b/>
          <w:bCs/>
          <w:sz w:val="24"/>
          <w:szCs w:val="24"/>
          <w:shd w:fill="FFFF00" w:val="clear"/>
        </w:rPr>
      </w:r>
    </w:p>
    <w:p>
      <w:pPr>
        <w:pStyle w:val="Heading1"/>
        <w:numPr>
          <w:ilvl w:val="0"/>
          <w:numId w:val="3"/>
        </w:numPr>
        <w:ind w:hanging="360" w:start="786" w:end="0"/>
        <w:rPr>
          <w:lang w:val="ru-RU"/>
        </w:rPr>
      </w:pPr>
      <w:bookmarkStart w:id="62" w:name="__RefHeading___Toc11262_1074701108"/>
      <w:bookmarkStart w:id="63" w:name="_Toc125991554"/>
      <w:bookmarkStart w:id="64" w:name="_Toc120722015"/>
      <w:bookmarkStart w:id="65" w:name="_Toc53393312"/>
      <w:bookmarkStart w:id="66" w:name="_Toc51339699"/>
      <w:bookmarkStart w:id="67" w:name="_Toc46743519"/>
      <w:bookmarkEnd w:id="62"/>
      <w:bookmarkEnd w:id="66"/>
      <w:bookmarkEnd w:id="67"/>
      <w:r>
        <w:rPr/>
        <w:t>Требования к документации по ценообразованию</w:t>
      </w:r>
      <w:bookmarkEnd w:id="65"/>
      <w:r>
        <w:rPr/>
        <w:t xml:space="preserve"> на этапе закупки</w:t>
      </w:r>
      <w:bookmarkEnd w:id="63"/>
      <w:bookmarkEnd w:id="64"/>
    </w:p>
    <w:p>
      <w:pPr>
        <w:pStyle w:val="Normal"/>
        <w:widowControl w:val="false"/>
        <w:tabs>
          <w:tab w:val="clear" w:pos="708"/>
          <w:tab w:val="left" w:pos="284" w:leader="none"/>
          <w:tab w:val="left" w:pos="851" w:leader="none"/>
          <w:tab w:val="left" w:pos="993" w:leader="none"/>
        </w:tabs>
        <w:ind w:firstLine="567" w:start="0" w:end="0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3.1. В обоснование стоимости своей заявки Участник предоставляет Коммерческое предложение по форме (с учетом прилагаемой к ней инструкции по заполнению), приведенной в Документации о закупке..</w:t>
      </w:r>
    </w:p>
    <w:p>
      <w:pPr>
        <w:pStyle w:val="Normal"/>
        <w:ind w:firstLine="567" w:start="0" w:end="0"/>
        <w:jc w:val="both"/>
        <w:rPr>
          <w:b/>
          <w:i/>
          <w:sz w:val="24"/>
          <w:szCs w:val="24"/>
        </w:rPr>
      </w:pPr>
      <w:r>
        <w:rPr>
          <w:i/>
          <w:sz w:val="24"/>
          <w:szCs w:val="24"/>
        </w:rPr>
        <w:t xml:space="preserve">3.2. </w:t>
      </w:r>
      <w:r>
        <w:rPr>
          <w:i/>
          <w:iCs/>
          <w:sz w:val="24"/>
          <w:szCs w:val="24"/>
        </w:rPr>
        <w:t>Дополнительные документы по ценообразованию в состав заявки не включается.</w:t>
      </w:r>
    </w:p>
    <w:p>
      <w:pPr>
        <w:pStyle w:val="Normal"/>
        <w:rPr>
          <w:rFonts w:eastAsia="Calibri"/>
          <w:b/>
          <w:iCs/>
          <w:lang w:val="x-none" w:eastAsia="x-none"/>
        </w:rPr>
      </w:pPr>
      <w:r>
        <w:rPr>
          <w:rFonts w:eastAsia="Calibri"/>
          <w:b/>
          <w:iCs/>
          <w:lang w:val="x-none" w:eastAsia="x-none"/>
        </w:rPr>
      </w:r>
      <w:bookmarkStart w:id="68" w:name="_Hlk48224758"/>
      <w:bookmarkStart w:id="69" w:name="_Toc46743519_Копия_1"/>
      <w:bookmarkStart w:id="70" w:name="_Toc51339699_Копия_1"/>
      <w:bookmarkStart w:id="71" w:name="_Hlk48224758"/>
      <w:bookmarkStart w:id="72" w:name="_Toc46743519_Копия_1"/>
      <w:bookmarkStart w:id="73" w:name="_Toc51339699_Копия_1"/>
      <w:bookmarkEnd w:id="71"/>
      <w:bookmarkEnd w:id="72"/>
      <w:bookmarkEnd w:id="73"/>
    </w:p>
    <w:p>
      <w:pPr>
        <w:pStyle w:val="Normal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</w:r>
    </w:p>
    <w:p>
      <w:pPr>
        <w:pStyle w:val="Normal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</w:r>
    </w:p>
    <w:p>
      <w:pPr>
        <w:pStyle w:val="Normal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</w:r>
      <w:bookmarkStart w:id="74" w:name="_Hlk48224758_Копия_1"/>
      <w:bookmarkStart w:id="75" w:name="_Hlk48224758_Копия_1"/>
      <w:bookmarkEnd w:id="75"/>
    </w:p>
    <w:p>
      <w:pPr>
        <w:pStyle w:val="Normal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Normal"/>
        <w:spacing w:before="0" w:after="0"/>
        <w:jc w:val="center"/>
        <w:rPr>
          <w:i w:val="false"/>
          <w:iCs w:val="false"/>
        </w:rPr>
      </w:pPr>
      <w:r>
        <w:rPr>
          <w:b/>
          <w:bCs/>
          <w:i w:val="false"/>
          <w:iCs w:val="false"/>
          <w:sz w:val="24"/>
          <w:szCs w:val="24"/>
        </w:rPr>
        <w:t>4. Приложения</w:t>
      </w:r>
    </w:p>
    <w:p>
      <w:pPr>
        <w:pStyle w:val="Normal"/>
        <w:jc w:val="start"/>
        <w:rPr>
          <w:b/>
          <w:bCs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jc w:val="start"/>
        <w:rPr>
          <w:i/>
          <w:iCs/>
        </w:rPr>
      </w:pPr>
      <w:r>
        <w:rPr>
          <w:i/>
          <w:iCs/>
          <w:sz w:val="24"/>
          <w:szCs w:val="24"/>
        </w:rPr>
        <w:t>1.</w:t>
        <w:tab/>
        <w:t xml:space="preserve">Руководство по применению фирменного стиля АО «Усть-СреднеканГЭСстрой </w:t>
      </w:r>
      <w:r>
        <w:rPr>
          <w:i/>
          <w:iCs/>
          <w:sz w:val="24"/>
          <w:szCs w:val="24"/>
        </w:rPr>
        <w:t>(прикладывается отдельным файлом);</w:t>
      </w:r>
    </w:p>
    <w:p>
      <w:pPr>
        <w:pStyle w:val="Normal"/>
        <w:jc w:val="start"/>
        <w:rPr>
          <w:i/>
          <w:iCs/>
        </w:rPr>
      </w:pPr>
      <w:r>
        <w:rPr>
          <w:i/>
          <w:iCs/>
          <w:sz w:val="24"/>
          <w:szCs w:val="24"/>
        </w:rPr>
        <w:t>2.</w:t>
        <w:tab/>
        <w:t>Адрес поставки и количество.</w:t>
      </w:r>
    </w:p>
    <w:p>
      <w:pPr>
        <w:pStyle w:val="Normal"/>
        <w:jc w:val="start"/>
        <w:rPr>
          <w:b/>
          <w:bCs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  <w:bookmarkStart w:id="76" w:name="_GoBack"/>
      <w:bookmarkStart w:id="77" w:name="_GoBack"/>
      <w:bookmarkEnd w:id="77"/>
      <w:r>
        <w:br w:type="page"/>
      </w:r>
    </w:p>
    <w:p>
      <w:pPr>
        <w:pStyle w:val="Normal"/>
        <w:spacing w:before="0" w:after="0"/>
        <w:jc w:val="end"/>
        <w:rPr>
          <w:b/>
          <w:bCs/>
        </w:rPr>
      </w:pPr>
      <w:r>
        <w:rPr>
          <w:b/>
          <w:bCs/>
        </w:rPr>
        <w:t>Приложение № 2</w:t>
      </w:r>
    </w:p>
    <w:p>
      <w:pPr>
        <w:pStyle w:val="Normal"/>
        <w:jc w:val="end"/>
        <w:rPr>
          <w:b/>
          <w:bCs/>
        </w:rPr>
      </w:pPr>
      <w:r>
        <w:rPr>
          <w:b/>
          <w:bCs/>
        </w:rPr>
      </w:r>
    </w:p>
    <w:p>
      <w:pPr>
        <w:pStyle w:val="Normal"/>
        <w:jc w:val="end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/>
      </w:pPr>
      <w:r>
        <w:rPr/>
        <w:t>Адрес поставки и количество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</w:r>
    </w:p>
    <w:tbl>
      <w:tblPr>
        <w:tblW w:w="4590" w:type="dxa"/>
        <w:jc w:val="start"/>
        <w:tblInd w:w="-30" w:type="dxa"/>
        <w:tblLayout w:type="fixed"/>
        <w:tblCellMar>
          <w:top w:w="0" w:type="dxa"/>
          <w:start w:w="30" w:type="dxa"/>
          <w:bottom w:w="0" w:type="dxa"/>
          <w:end w:w="30" w:type="dxa"/>
        </w:tblCellMar>
      </w:tblPr>
      <w:tblGrid>
        <w:gridCol w:w="2574"/>
        <w:gridCol w:w="2016"/>
      </w:tblGrid>
      <w:tr>
        <w:trPr>
          <w:trHeight w:val="537" w:hRule="atLeast"/>
        </w:trPr>
        <w:tc>
          <w:tcPr>
            <w:tcW w:w="2574" w:type="dxa"/>
            <w:tcBorders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Подразделение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кол-во подарков</w:t>
            </w:r>
          </w:p>
        </w:tc>
      </w:tr>
      <w:tr>
        <w:trPr>
          <w:trHeight w:val="315" w:hRule="atLeast"/>
        </w:trPr>
        <w:tc>
          <w:tcPr>
            <w:tcW w:w="2574" w:type="dxa"/>
            <w:tcBorders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 в г. Владивостоке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374</w:t>
            </w:r>
          </w:p>
        </w:tc>
      </w:tr>
      <w:tr>
        <w:trPr>
          <w:trHeight w:val="315" w:hRule="atLeast"/>
        </w:trPr>
        <w:tc>
          <w:tcPr>
            <w:tcW w:w="2574" w:type="dxa"/>
            <w:tcBorders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Филиал в г. Хабаровске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578</w:t>
            </w:r>
          </w:p>
        </w:tc>
      </w:tr>
      <w:tr>
        <w:trPr>
          <w:trHeight w:val="315" w:hRule="atLeast"/>
        </w:trPr>
        <w:tc>
          <w:tcPr>
            <w:tcW w:w="2574" w:type="dxa"/>
            <w:tcBorders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Исполнительный аппарат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359</w:t>
            </w:r>
          </w:p>
        </w:tc>
      </w:tr>
      <w:tr>
        <w:trPr>
          <w:trHeight w:val="315" w:hRule="atLeast"/>
        </w:trPr>
        <w:tc>
          <w:tcPr>
            <w:tcW w:w="2574" w:type="dxa"/>
            <w:tcBorders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 в г. Партизанске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552</w:t>
            </w:r>
          </w:p>
        </w:tc>
      </w:tr>
      <w:tr>
        <w:trPr>
          <w:trHeight w:val="315" w:hRule="atLeast"/>
        </w:trPr>
        <w:tc>
          <w:tcPr>
            <w:tcW w:w="2574" w:type="dxa"/>
            <w:tcBorders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 Загорское</w:t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 в г. Нерюнгри</w:t>
            </w:r>
          </w:p>
        </w:tc>
        <w:tc>
          <w:tcPr>
            <w:tcW w:w="2016" w:type="dxa"/>
            <w:tcBorders/>
          </w:tcPr>
          <w:p>
            <w:pPr>
              <w:pStyle w:val="Normal"/>
              <w:widowControl w:val="fals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  <w:p>
            <w:pPr>
              <w:pStyle w:val="Normal"/>
              <w:widowControl w:val="false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</w:t>
            </w:r>
            <w:r>
              <w:rPr>
                <w:b/>
                <w:bCs/>
                <w:sz w:val="24"/>
                <w:szCs w:val="24"/>
              </w:rPr>
              <w:t>361</w:t>
            </w:r>
          </w:p>
        </w:tc>
      </w:tr>
      <w:tr>
        <w:trPr>
          <w:trHeight w:val="537" w:hRule="atLeast"/>
        </w:trPr>
        <w:tc>
          <w:tcPr>
            <w:tcW w:w="2574" w:type="dxa"/>
            <w:tcBorders/>
            <w:vAlign w:val="center"/>
          </w:tcPr>
          <w:p>
            <w:pPr>
              <w:pStyle w:val="Normal"/>
              <w:widowControl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Normal"/>
              <w:widowControl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кол-во по категории подарка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2230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</w:r>
    </w:p>
    <w:sectPr>
      <w:headerReference w:type="even" r:id="rId10"/>
      <w:headerReference w:type="default" r:id="rId11"/>
      <w:headerReference w:type="first" r:id="rId12"/>
      <w:type w:val="nextPage"/>
      <w:pgSz w:w="11906" w:h="16838"/>
      <w:pgMar w:left="1134" w:right="851" w:gutter="0" w:header="680" w:top="1134" w:footer="0" w:bottom="992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roman"/>
    <w:pitch w:val="variable"/>
  </w:font>
  <w:font w:name="Tahoma">
    <w:charset w:val="cc" w:characterSet="windows-1251"/>
    <w:family w:val="roman"/>
    <w:pitch w:val="variable"/>
  </w:font>
  <w:font w:name="Arial Unicode MS">
    <w:charset w:val="cc" w:characterSet="windows-1251"/>
    <w:family w:val="roman"/>
    <w:pitch w:val="variable"/>
  </w:font>
  <w:font w:name="Verdana">
    <w:charset w:val="cc" w:characterSet="windows-1251"/>
    <w:family w:val="roman"/>
    <w:pitch w:val="variable"/>
  </w:font>
  <w:font w:name="Garamond">
    <w:charset w:val="cc" w:characterSet="windows-125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19</w:t>
    </w:r>
    <w:r>
      <w:rPr/>
      <w:fldChar w:fldCharType="end"/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357"/>
        </w:tabs>
        <w:ind w:start="0" w:hanging="0"/>
      </w:pPr>
      <w:rPr/>
    </w:lvl>
    <w:lvl w:ilvl="2">
      <w:start w:val="1"/>
      <w:numFmt w:val="decimal"/>
      <w:lvlText w:val="%1.%2.%3."/>
      <w:lvlJc w:val="start"/>
      <w:pPr>
        <w:tabs>
          <w:tab w:val="num" w:pos="357"/>
        </w:tabs>
        <w:ind w:start="0" w:hanging="0"/>
      </w:pPr>
      <w:rPr/>
    </w:lvl>
    <w:lvl w:ilvl="3">
      <w:start w:val="1"/>
      <w:numFmt w:val="decimal"/>
      <w:lvlText w:val="%1.%2.%3.%4."/>
      <w:lvlJc w:val="start"/>
      <w:pPr>
        <w:tabs>
          <w:tab w:val="num" w:pos="357"/>
        </w:tabs>
        <w:ind w:start="0" w:hanging="0"/>
      </w:pPr>
      <w:rPr/>
    </w:lvl>
    <w:lvl w:ilvl="4">
      <w:start w:val="1"/>
      <w:numFmt w:val="decimal"/>
      <w:lvlText w:val="%1.%2.%3.%4.%5."/>
      <w:lvlJc w:val="start"/>
      <w:pPr>
        <w:tabs>
          <w:tab w:val="num" w:pos="2520"/>
        </w:tabs>
        <w:ind w:start="0" w:hanging="0"/>
      </w:pPr>
      <w:rPr/>
    </w:lvl>
    <w:lvl w:ilvl="5">
      <w:start w:val="1"/>
      <w:numFmt w:val="decimal"/>
      <w:lvlText w:val="%1.%2.%3.%4.%5.%6."/>
      <w:lvlJc w:val="start"/>
      <w:pPr>
        <w:tabs>
          <w:tab w:val="num" w:pos="357"/>
        </w:tabs>
        <w:ind w:start="0" w:hanging="0"/>
      </w:pPr>
      <w:rPr/>
    </w:lvl>
    <w:lvl w:ilvl="6">
      <w:start w:val="1"/>
      <w:numFmt w:val="decimal"/>
      <w:lvlText w:val="%1.%2.%3.%4.%5.%6.%7."/>
      <w:lvlJc w:val="start"/>
      <w:pPr>
        <w:tabs>
          <w:tab w:val="num" w:pos="357"/>
        </w:tabs>
        <w:ind w:start="0" w:hanging="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357"/>
        </w:tabs>
        <w:ind w:start="0" w:hanging="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357"/>
        </w:tabs>
        <w:ind w:start="0" w:hanging="0"/>
      </w:pPr>
      <w:rPr/>
    </w:lvl>
  </w:abstractNum>
  <w:abstractNum w:abstractNumId="2">
    <w:lvl w:ilvl="0">
      <w:start w:val="1"/>
      <w:numFmt w:val="bullet"/>
      <w:lvlText w:val="-"/>
      <w:lvlJc w:val="start"/>
      <w:pPr>
        <w:tabs>
          <w:tab w:val="num" w:pos="0"/>
        </w:tabs>
        <w:ind w:start="-207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start"/>
      <w:pPr>
        <w:tabs>
          <w:tab w:val="num" w:pos="513"/>
        </w:tabs>
        <w:ind w:start="51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1233"/>
        </w:tabs>
        <w:ind w:start="123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1953"/>
        </w:tabs>
        <w:ind w:start="195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2673"/>
        </w:tabs>
        <w:ind w:start="267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3393"/>
        </w:tabs>
        <w:ind w:start="339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4113"/>
        </w:tabs>
        <w:ind w:start="411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4833"/>
        </w:tabs>
        <w:ind w:start="483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5553"/>
        </w:tabs>
        <w:ind w:start="5553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86" w:hanging="360"/>
      </w:pPr>
      <w:rPr>
        <w:rFonts w:ascii="Times New Roman" w:hAnsi="Times New Roman" w:cs="Times New Roman"/>
        <w:b/>
        <w:bCs w:val="false"/>
        <w:i w:val="false"/>
        <w:iCs w:val="false"/>
        <w:caps w:val="false"/>
        <w:smallCaps w:val="false"/>
        <w:strike w:val="false"/>
        <w:dstrike w:val="false"/>
        <w:vanish w:val="false"/>
        <w:color w:val="000000"/>
        <w:spacing w:val="0"/>
        <w:kern w:val="0"/>
        <w:position w:val="0"/>
        <w:sz w:val="28"/>
        <w:szCs w:val="28"/>
        <w:u w:val="none"/>
        <w:effect w:val="none"/>
        <w:vertAlign w:val="baseline"/>
        <w:em w:val="none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432" w:hanging="432"/>
      </w:pPr>
      <w:rPr>
        <w:b/>
        <w:bCs/>
        <w:i w:val="false"/>
        <w:iCs/>
        <w:sz w:val="24"/>
        <w:szCs w:val="24"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134" w:hanging="1134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1134" w:hanging="1134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134" w:hanging="1134"/>
      </w:pPr>
      <w:rPr/>
    </w:lvl>
    <w:lvl w:ilvl="3">
      <w:start w:val="1"/>
      <w:numFmt w:val="russianLower"/>
      <w:lvlText w:val="(%4)"/>
      <w:lvlJc w:val="start"/>
      <w:pPr>
        <w:tabs>
          <w:tab w:val="num" w:pos="0"/>
        </w:tabs>
        <w:ind w:start="1985" w:hanging="567"/>
      </w:pPr>
      <w:rPr/>
    </w:lvl>
    <w:lvl w:ilvl="4">
      <w:start w:val="1"/>
      <w:numFmt w:val="bullet"/>
      <w:lvlText w:val="–"/>
      <w:lvlJc w:val="start"/>
      <w:pPr>
        <w:tabs>
          <w:tab w:val="num" w:pos="0"/>
        </w:tabs>
        <w:ind w:start="2268" w:hanging="567"/>
      </w:pPr>
      <w:rPr>
        <w:rFonts w:ascii="Times New Roman" w:hAnsi="Times New Roman" w:cs="Times New Roman" w:hint="default"/>
      </w:r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1134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1701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1134" w:hanging="0"/>
      </w:pPr>
      <w:rPr/>
    </w:lvl>
  </w:abstractNum>
  <w:abstractNum w:abstractNumId="5">
    <w:lvl w:ilvl="0">
      <w:start w:val="1"/>
      <w:numFmt w:val="decimal"/>
      <w:lvlText w:val="1.%1"/>
      <w:lvlJc w:val="start"/>
      <w:pPr>
        <w:tabs>
          <w:tab w:val="num" w:pos="0"/>
        </w:tabs>
        <w:ind w:start="1429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4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6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58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0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2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4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6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189" w:hanging="18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b/>
        <w:bCs w:val="false"/>
        <w:sz w:val="24"/>
        <w:szCs w:val="24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1283" w:hanging="432"/>
      </w:pPr>
      <w:rPr>
        <w:b w:val="false"/>
        <w:bCs/>
        <w:sz w:val="24"/>
        <w:szCs w:val="24"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0" w:hanging="0"/>
      </w:pPr>
      <w:rPr>
        <w:sz w:val="24"/>
        <w:szCs w:val="24"/>
      </w:r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i/>
        <w:iCs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ing1">
    <w:name w:val="heading 1"/>
    <w:basedOn w:val="Heading3"/>
    <w:next w:val="Normal"/>
    <w:link w:val="1"/>
    <w:qFormat/>
    <w:pPr>
      <w:numPr>
        <w:ilvl w:val="0"/>
        <w:numId w:val="0"/>
      </w:numPr>
      <w:ind w:hanging="504" w:start="1224" w:end="0"/>
      <w:outlineLvl w:val="0"/>
    </w:pPr>
    <w:rPr>
      <w:sz w:val="28"/>
      <w:szCs w:val="28"/>
    </w:rPr>
  </w:style>
  <w:style w:type="paragraph" w:styleId="Heading2">
    <w:name w:val="heading 2"/>
    <w:basedOn w:val="Heading4"/>
    <w:next w:val="Normal"/>
    <w:link w:val="2"/>
    <w:qFormat/>
    <w:pPr>
      <w:numPr>
        <w:ilvl w:val="0"/>
        <w:numId w:val="0"/>
      </w:numPr>
      <w:ind w:hanging="504" w:start="1224" w:end="0"/>
      <w:outlineLvl w:val="1"/>
    </w:pPr>
    <w:rPr/>
  </w:style>
  <w:style w:type="paragraph" w:styleId="Heading3">
    <w:name w:val="heading 3"/>
    <w:basedOn w:val="Normal"/>
    <w:next w:val="Normal"/>
    <w:link w:val="3"/>
    <w:qFormat/>
    <w:pPr>
      <w:keepNext w:val="true"/>
      <w:numPr>
        <w:ilvl w:val="0"/>
        <w:numId w:val="0"/>
      </w:numPr>
      <w:tabs>
        <w:tab w:val="clear" w:pos="708"/>
        <w:tab w:val="left" w:pos="0" w:leader="none"/>
      </w:tabs>
      <w:spacing w:before="120" w:after="60"/>
      <w:ind w:hanging="504" w:start="1224" w:end="0"/>
      <w:outlineLvl w:val="2"/>
    </w:pPr>
    <w:rPr>
      <w:rFonts w:eastAsia="Calibri"/>
      <w:b/>
      <w:sz w:val="24"/>
      <w:szCs w:val="24"/>
      <w:lang w:val="x-none" w:eastAsia="x-none"/>
    </w:rPr>
  </w:style>
  <w:style w:type="paragraph" w:styleId="Heading4">
    <w:name w:val="heading 4"/>
    <w:basedOn w:val="Heading3"/>
    <w:next w:val="Normal"/>
    <w:link w:val="4"/>
    <w:qFormat/>
    <w:pPr>
      <w:numPr>
        <w:ilvl w:val="0"/>
        <w:numId w:val="0"/>
      </w:numPr>
      <w:ind w:hanging="504" w:start="1224" w:end="0"/>
      <w:outlineLvl w:val="3"/>
    </w:pPr>
    <w:rPr>
      <w:bCs/>
    </w:rPr>
  </w:style>
  <w:style w:type="paragraph" w:styleId="Heading5">
    <w:name w:val="heading 5"/>
    <w:basedOn w:val="Normal"/>
    <w:next w:val="Normal"/>
    <w:link w:val="5"/>
    <w:qFormat/>
    <w:pPr>
      <w:numPr>
        <w:ilvl w:val="0"/>
        <w:numId w:val="0"/>
      </w:numPr>
      <w:spacing w:before="240" w:after="60"/>
      <w:outlineLvl w:val="4"/>
    </w:pPr>
    <w:rPr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6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mbria" w:hAnsi="Cambria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7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mbria" w:hAnsi="Cambria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8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mbria" w:hAnsi="Cambria"/>
      <w:color w:val="4F81BD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9"/>
    <w:qFormat/>
    <w:pPr>
      <w:numPr>
        <w:ilvl w:val="0"/>
        <w:numId w:val="0"/>
      </w:numPr>
      <w:spacing w:before="240" w:after="60"/>
      <w:outlineLvl w:val="8"/>
    </w:pPr>
    <w:rPr>
      <w:rFonts w:ascii="Arial" w:hAnsi="Arial"/>
      <w:sz w:val="22"/>
      <w:szCs w:val="22"/>
      <w:lang w:val="x-none" w:eastAsia="x-none"/>
    </w:rPr>
  </w:style>
  <w:style w:type="character" w:styleId="DefaultParagraphFont">
    <w:name w:val="Default Paragraph Font"/>
    <w:qFormat/>
    <w:rPr/>
  </w:style>
  <w:style w:type="character" w:styleId="user">
    <w:name w:val="Символ сноски (user)"/>
    <w:qFormat/>
    <w:rPr>
      <w:vertAlign w:val="superscript"/>
    </w:rPr>
  </w:style>
  <w:style w:type="character" w:styleId="Style5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PageNumber">
    <w:name w:val="page number"/>
    <w:basedOn w:val="DefaultParagraphFont"/>
    <w:qFormat/>
    <w:rPr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qFormat/>
    <w:rPr>
      <w:sz w:val="16"/>
      <w:szCs w:val="16"/>
    </w:rPr>
  </w:style>
  <w:style w:type="character" w:styleId="Strong">
    <w:name w:val="Strong"/>
    <w:qFormat/>
    <w:rPr>
      <w:b/>
      <w:bCs/>
    </w:rPr>
  </w:style>
  <w:style w:type="character" w:styleId="6">
    <w:name w:val="Заголовок 6 Знак"/>
    <w:qFormat/>
    <w:rPr>
      <w:rFonts w:ascii="Cambria" w:hAnsi="Cambria"/>
      <w:i/>
      <w:iCs/>
      <w:color w:val="243F60"/>
      <w:lang w:val="x-none" w:eastAsia="x-none"/>
    </w:rPr>
  </w:style>
  <w:style w:type="character" w:styleId="7">
    <w:name w:val="Заголовок 7 Знак"/>
    <w:qFormat/>
    <w:rPr>
      <w:rFonts w:ascii="Cambria" w:hAnsi="Cambria"/>
      <w:i/>
      <w:iCs/>
      <w:color w:val="404040"/>
      <w:lang w:val="x-none" w:eastAsia="x-none"/>
    </w:rPr>
  </w:style>
  <w:style w:type="character" w:styleId="8">
    <w:name w:val="Заголовок 8 Знак"/>
    <w:qFormat/>
    <w:rPr>
      <w:rFonts w:ascii="Cambria" w:hAnsi="Cambria"/>
      <w:color w:val="4F81BD"/>
      <w:lang w:val="x-none" w:eastAsia="x-none"/>
    </w:rPr>
  </w:style>
  <w:style w:type="character" w:styleId="1">
    <w:name w:val="Заголовок 1 Знак"/>
    <w:qFormat/>
    <w:rPr>
      <w:rFonts w:eastAsia="Calibri"/>
      <w:b/>
      <w:sz w:val="28"/>
      <w:szCs w:val="28"/>
      <w:lang w:val="x-none" w:eastAsia="x-none"/>
    </w:rPr>
  </w:style>
  <w:style w:type="character" w:styleId="2">
    <w:name w:val="Заголовок 2 Знак"/>
    <w:qFormat/>
    <w:rPr>
      <w:rFonts w:eastAsia="Calibri"/>
      <w:b/>
      <w:bCs/>
      <w:sz w:val="24"/>
      <w:szCs w:val="24"/>
      <w:lang w:val="x-none" w:eastAsia="x-none"/>
    </w:rPr>
  </w:style>
  <w:style w:type="character" w:styleId="3">
    <w:name w:val="Заголовок 3 Знак"/>
    <w:qFormat/>
    <w:rPr>
      <w:rFonts w:eastAsia="Calibri"/>
      <w:b/>
      <w:sz w:val="24"/>
      <w:szCs w:val="24"/>
      <w:lang w:val="x-none" w:eastAsia="x-none"/>
    </w:rPr>
  </w:style>
  <w:style w:type="character" w:styleId="4">
    <w:name w:val="Заголовок 4 Знак"/>
    <w:qFormat/>
    <w:rPr>
      <w:rFonts w:eastAsia="Calibri"/>
      <w:b/>
      <w:bCs/>
      <w:sz w:val="24"/>
      <w:szCs w:val="24"/>
      <w:lang w:val="x-none" w:eastAsia="x-none"/>
    </w:rPr>
  </w:style>
  <w:style w:type="character" w:styleId="5">
    <w:name w:val="Заголовок 5 Знак"/>
    <w:qFormat/>
    <w:rPr>
      <w:b/>
      <w:bCs/>
      <w:i/>
      <w:iCs/>
      <w:sz w:val="26"/>
      <w:szCs w:val="26"/>
    </w:rPr>
  </w:style>
  <w:style w:type="character" w:styleId="9">
    <w:name w:val="Заголовок 9 Знак"/>
    <w:qFormat/>
    <w:rPr>
      <w:rFonts w:ascii="Arial" w:hAnsi="Arial" w:cs="Arial"/>
      <w:sz w:val="22"/>
      <w:szCs w:val="22"/>
    </w:rPr>
  </w:style>
  <w:style w:type="character" w:styleId="Style6">
    <w:name w:val="Название Знак"/>
    <w:link w:val="17"/>
    <w:qFormat/>
    <w:rPr>
      <w:sz w:val="28"/>
    </w:rPr>
  </w:style>
  <w:style w:type="character" w:styleId="Style7">
    <w:name w:val="Подзаголовок Знак"/>
    <w:qFormat/>
    <w:rPr>
      <w:rFonts w:ascii="Cambria" w:hAnsi="Cambria"/>
      <w:i/>
      <w:iCs/>
      <w:color w:val="4F81BD"/>
      <w:spacing w:val="15"/>
      <w:sz w:val="24"/>
      <w:szCs w:val="24"/>
      <w:lang w:val="x-none" w:eastAsia="x-none"/>
    </w:rPr>
  </w:style>
  <w:style w:type="character" w:styleId="Emphasis">
    <w:name w:val="Emphasis"/>
    <w:qFormat/>
    <w:rPr>
      <w:i/>
      <w:iCs/>
    </w:rPr>
  </w:style>
  <w:style w:type="character" w:styleId="21">
    <w:name w:val="Цитата 2 Знак"/>
    <w:link w:val="Quote"/>
    <w:qFormat/>
    <w:rPr>
      <w:rFonts w:ascii="Calibri" w:hAnsi="Calibri" w:eastAsia="Calibri"/>
      <w:i/>
      <w:iCs/>
      <w:color w:val="000000"/>
      <w:lang w:val="x-none" w:eastAsia="x-none"/>
    </w:rPr>
  </w:style>
  <w:style w:type="character" w:styleId="Style8">
    <w:name w:val="Выделенная цитата Знак"/>
    <w:link w:val="IntenseQuote"/>
    <w:qFormat/>
    <w:rPr>
      <w:rFonts w:ascii="Calibri" w:hAnsi="Calibri" w:eastAsia="Calibri"/>
      <w:b/>
      <w:bCs/>
      <w:i/>
      <w:iCs/>
      <w:color w:val="4F81BD"/>
      <w:lang w:val="x-none" w:eastAsia="x-none"/>
    </w:rPr>
  </w:style>
  <w:style w:type="character" w:styleId="SubtleEmphasis">
    <w:name w:val="Subtle Emphasis"/>
    <w:qFormat/>
    <w:rPr>
      <w:i/>
      <w:iCs/>
      <w:color w:val="808080"/>
    </w:rPr>
  </w:style>
  <w:style w:type="character" w:styleId="IntenseEmphasis">
    <w:name w:val="Intense Emphasis"/>
    <w:qFormat/>
    <w:rPr>
      <w:b/>
      <w:bCs/>
      <w:i/>
      <w:iCs/>
      <w:color w:val="4F81BD"/>
    </w:rPr>
  </w:style>
  <w:style w:type="character" w:styleId="SubtleReference">
    <w:name w:val="Subtle Reference"/>
    <w:qFormat/>
    <w:rPr>
      <w:smallCaps/>
      <w:color w:val="C0504D"/>
      <w:u w:val="single"/>
    </w:rPr>
  </w:style>
  <w:style w:type="character" w:styleId="IntenseReference">
    <w:name w:val="Intense Reference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qFormat/>
    <w:rPr>
      <w:b/>
      <w:bCs/>
      <w:smallCaps/>
      <w:spacing w:val="5"/>
    </w:rPr>
  </w:style>
  <w:style w:type="character" w:styleId="Style9">
    <w:name w:val="Электронная подпись Знак"/>
    <w:link w:val="E-mailSignature"/>
    <w:qFormat/>
    <w:rPr>
      <w:rFonts w:eastAsia="Calibri"/>
      <w:sz w:val="24"/>
      <w:szCs w:val="24"/>
    </w:rPr>
  </w:style>
  <w:style w:type="character" w:styleId="11">
    <w:name w:val="Подпункт Знак1"/>
    <w:link w:val="Style27"/>
    <w:qFormat/>
    <w:rPr>
      <w:sz w:val="28"/>
    </w:rPr>
  </w:style>
  <w:style w:type="character" w:styleId="Style10">
    <w:name w:val="Текст сноски Знак"/>
    <w:qFormat/>
    <w:rPr/>
  </w:style>
  <w:style w:type="character" w:styleId="Style11">
    <w:name w:val="Основной текст Знак"/>
    <w:qFormat/>
    <w:rPr>
      <w:sz w:val="28"/>
      <w:szCs w:val="28"/>
    </w:rPr>
  </w:style>
  <w:style w:type="character" w:styleId="blk">
    <w:name w:val="blk"/>
    <w:qFormat/>
    <w:rPr/>
  </w:style>
  <w:style w:type="character" w:styleId="Style12">
    <w:name w:val="Абзац списка Знак"/>
    <w:link w:val="ListParagraph"/>
    <w:qFormat/>
    <w:rPr>
      <w:rFonts w:eastAsia="Calibri"/>
      <w:sz w:val="24"/>
      <w:szCs w:val="24"/>
    </w:rPr>
  </w:style>
  <w:style w:type="character" w:styleId="Style13">
    <w:name w:val="комментарий"/>
    <w:qFormat/>
    <w:rPr>
      <w:b/>
      <w:i/>
      <w:shd w:fill="FFFF99" w:val="clear"/>
    </w:rPr>
  </w:style>
  <w:style w:type="character" w:styleId="Style14">
    <w:name w:val="Подподпункт Знак"/>
    <w:link w:val="Style34"/>
    <w:qFormat/>
    <w:rPr>
      <w:sz w:val="26"/>
      <w:szCs w:val="26"/>
    </w:rPr>
  </w:style>
  <w:style w:type="character" w:styleId="31">
    <w:name w:val="УРОВЕНЬ_Абзац_тип3 Знак"/>
    <w:link w:val="36"/>
    <w:qFormat/>
    <w:rPr>
      <w:rFonts w:eastAsia="Calibri"/>
      <w:sz w:val="26"/>
      <w:szCs w:val="28"/>
      <w:lang w:eastAsia="en-US"/>
    </w:rPr>
  </w:style>
  <w:style w:type="character" w:styleId="Style15">
    <w:name w:val="Верхний колонтитул Знак"/>
    <w:qFormat/>
    <w:rPr>
      <w:sz w:val="24"/>
      <w:szCs w:val="24"/>
    </w:rPr>
  </w:style>
  <w:style w:type="character" w:styleId="Style16">
    <w:name w:val="Текст примечания Знак"/>
    <w:qFormat/>
    <w:rPr/>
  </w:style>
  <w:style w:type="character" w:styleId="Style17">
    <w:name w:val="Текст концевой сноски Знак"/>
    <w:basedOn w:val="DefaultParagraphFont"/>
    <w:qFormat/>
    <w:rPr/>
  </w:style>
  <w:style w:type="character" w:styleId="user1">
    <w:name w:val="Символ концевой сноски (user)"/>
    <w:qFormat/>
    <w:rPr>
      <w:vertAlign w:val="superscript"/>
    </w:rPr>
  </w:style>
  <w:style w:type="character" w:styleId="Style18">
    <w:name w:val="Символ концевой сноски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22">
    <w:name w:val="Пункт2 Знак"/>
    <w:link w:val="26"/>
    <w:qFormat/>
    <w:rPr>
      <w:b/>
      <w:sz w:val="28"/>
    </w:rPr>
  </w:style>
  <w:style w:type="character" w:styleId="12">
    <w:name w:val="УРОВЕНЬ_1. Знак"/>
    <w:link w:val="111"/>
    <w:qFormat/>
    <w:rPr>
      <w:rFonts w:eastAsia="Calibri"/>
      <w:caps/>
      <w:sz w:val="28"/>
      <w:szCs w:val="28"/>
      <w:lang w:eastAsia="en-US"/>
    </w:rPr>
  </w:style>
  <w:style w:type="character" w:styleId="13">
    <w:name w:val="Неразрешенное упоминание1"/>
    <w:basedOn w:val="DefaultParagraphFont"/>
    <w:qFormat/>
    <w:rPr>
      <w:color w:val="605E5C"/>
      <w:shd w:fill="E1DFDD" w:val="clear"/>
    </w:rPr>
  </w:style>
  <w:style w:type="character" w:styleId="32">
    <w:name w:val="Основной текст с отступом 3 Знак"/>
    <w:link w:val="BodyTextIndent3"/>
    <w:qFormat/>
    <w:rPr>
      <w:sz w:val="16"/>
      <w:szCs w:val="16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ConsPlusNormal">
    <w:name w:val="ConsPlusNormal Знак"/>
    <w:link w:val="ConsPlusNormal1"/>
    <w:qFormat/>
    <w:rPr>
      <w:rFonts w:ascii="Arial" w:hAnsi="Arial" w:cs="Arial"/>
    </w:rPr>
  </w:style>
  <w:style w:type="character" w:styleId="23">
    <w:name w:val="Основной текст с отступом 2 Знак"/>
    <w:basedOn w:val="DefaultParagraphFont"/>
    <w:link w:val="BodyTextIndent2"/>
    <w:qFormat/>
    <w:rPr>
      <w:sz w:val="28"/>
      <w:szCs w:val="28"/>
    </w:rPr>
  </w:style>
  <w:style w:type="character" w:styleId="vcyzr">
    <w:name w:val="vcyzr"/>
    <w:basedOn w:val="DefaultParagraphFont"/>
    <w:qFormat/>
    <w:rPr/>
  </w:style>
  <w:style w:type="character" w:styleId="wbylv">
    <w:name w:val="wbylv"/>
    <w:basedOn w:val="DefaultParagraphFont"/>
    <w:qFormat/>
    <w:rPr/>
  </w:style>
  <w:style w:type="character" w:styleId="user2">
    <w:name w:val="Ссылка указателя (user)"/>
    <w:qFormat/>
    <w:rPr/>
  </w:style>
  <w:style w:type="character" w:styleId="linenumber1">
    <w:name w:val="line number1"/>
    <w:qFormat/>
    <w:rPr/>
  </w:style>
  <w:style w:type="character" w:styleId="24">
    <w:name w:val="Неразрешенное упоминание2"/>
    <w:basedOn w:val="DefaultParagraphFont"/>
    <w:qFormat/>
    <w:rPr>
      <w:color w:val="605E5C"/>
      <w:shd w:fill="E1DFDD" w:val="clear"/>
    </w:rPr>
  </w:style>
  <w:style w:type="character" w:styleId="LineNumber">
    <w:name w:val="line number"/>
    <w:rPr/>
  </w:style>
  <w:style w:type="character" w:styleId="Style19">
    <w:name w:val="Ссылка указателя"/>
    <w:qFormat/>
    <w:rPr/>
  </w:style>
  <w:style w:type="paragraph" w:styleId="Style2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11"/>
    <w:pPr>
      <w:spacing w:before="0" w:after="12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Arial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</w:rPr>
  </w:style>
  <w:style w:type="paragraph" w:styleId="user4">
    <w:name w:val="Указатель (user)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</w:rPr>
  </w:style>
  <w:style w:type="paragraph" w:styleId="caption1">
    <w:name w:val="caption1"/>
    <w:basedOn w:val="Normal"/>
    <w:next w:val="Normal"/>
    <w:qFormat/>
    <w:pPr/>
    <w:rPr>
      <w:rFonts w:eastAsia="Calibri"/>
      <w:b/>
      <w:bCs/>
      <w:color w:val="4F81BD"/>
      <w:sz w:val="18"/>
      <w:szCs w:val="18"/>
    </w:rPr>
  </w:style>
  <w:style w:type="paragraph" w:styleId="indexheading1">
    <w:name w:val="index heading1"/>
    <w:basedOn w:val="Title"/>
    <w:qFormat/>
    <w:pPr/>
    <w:rPr/>
  </w:style>
  <w:style w:type="paragraph" w:styleId="14">
    <w:name w:val="Заголовок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</w:rPr>
  </w:style>
  <w:style w:type="paragraph" w:styleId="15">
    <w:name w:val="Указатель1"/>
    <w:basedOn w:val="Normal"/>
    <w:qFormat/>
    <w:pPr>
      <w:suppressLineNumbers/>
    </w:pPr>
    <w:rPr>
      <w:rFonts w:cs="Lohit Devanagari"/>
    </w:rPr>
  </w:style>
  <w:style w:type="paragraph" w:styleId="Style22">
    <w:name w:val="Название раздела инструкции"/>
    <w:basedOn w:val="Normal"/>
    <w:autoRedefine/>
    <w:qFormat/>
    <w:pPr>
      <w:jc w:val="center"/>
    </w:pPr>
    <w:rPr>
      <w:b/>
    </w:rPr>
  </w:style>
  <w:style w:type="paragraph" w:styleId="Style23">
    <w:name w:val="Раздел положения"/>
    <w:basedOn w:val="Normal"/>
    <w:autoRedefine/>
    <w:qFormat/>
    <w:pPr>
      <w:numPr>
        <w:ilvl w:val="0"/>
        <w:numId w:val="1"/>
      </w:numPr>
      <w:spacing w:before="80" w:after="80"/>
      <w:jc w:val="center"/>
    </w:pPr>
    <w:rPr>
      <w:b/>
      <w:sz w:val="32"/>
      <w:szCs w:val="32"/>
    </w:rPr>
  </w:style>
  <w:style w:type="paragraph" w:styleId="Style24">
    <w:name w:val="Подраздел раздела положения"/>
    <w:basedOn w:val="Normal"/>
    <w:autoRedefine/>
    <w:qFormat/>
    <w:pPr>
      <w:numPr>
        <w:ilvl w:val="1"/>
        <w:numId w:val="1"/>
      </w:numPr>
      <w:spacing w:before="80" w:after="80"/>
      <w:jc w:val="both"/>
    </w:pPr>
    <w:rPr/>
  </w:style>
  <w:style w:type="paragraph" w:styleId="FootnoteText">
    <w:name w:val="footnote text"/>
    <w:basedOn w:val="Normal"/>
    <w:link w:val="Style10"/>
    <w:pPr/>
    <w:rPr>
      <w:sz w:val="20"/>
      <w:szCs w:val="20"/>
    </w:rPr>
  </w:style>
  <w:style w:type="paragraph" w:styleId="16">
    <w:name w:val="Шапка 1"/>
    <w:basedOn w:val="Normal"/>
    <w:qFormat/>
    <w:pPr>
      <w:pBdr>
        <w:bottom w:val="thickThinSmallGap" w:sz="24" w:space="1" w:color="000000"/>
      </w:pBdr>
      <w:spacing w:before="0" w:after="240"/>
      <w:jc w:val="center"/>
    </w:pPr>
    <w:rPr>
      <w:sz w:val="22"/>
      <w:szCs w:val="22"/>
    </w:rPr>
  </w:style>
  <w:style w:type="paragraph" w:styleId="25">
    <w:name w:val="Шапка 2"/>
    <w:basedOn w:val="Normal"/>
    <w:qFormat/>
    <w:pPr>
      <w:pBdr>
        <w:bottom w:val="thickThinSmallGap" w:sz="24" w:space="1" w:color="000000"/>
      </w:pBdr>
      <w:spacing w:before="0" w:after="120"/>
      <w:jc w:val="center"/>
    </w:pPr>
    <w:rPr>
      <w:b/>
      <w:sz w:val="22"/>
      <w:szCs w:val="22"/>
    </w:rPr>
  </w:style>
  <w:style w:type="paragraph" w:styleId="33">
    <w:name w:val="Шапка 3"/>
    <w:basedOn w:val="Normal"/>
    <w:qFormat/>
    <w:pPr>
      <w:pBdr>
        <w:bottom w:val="thickThinSmallGap" w:sz="24" w:space="1" w:color="000000"/>
      </w:pBdr>
      <w:spacing w:before="240" w:after="360"/>
      <w:jc w:val="center"/>
    </w:pPr>
    <w:rPr>
      <w:b/>
      <w:sz w:val="24"/>
      <w:szCs w:val="24"/>
    </w:rPr>
  </w:style>
  <w:style w:type="paragraph" w:styleId="17">
    <w:name w:val="Название1"/>
    <w:basedOn w:val="Normal"/>
    <w:link w:val="Style6"/>
    <w:qFormat/>
    <w:pPr>
      <w:jc w:val="center"/>
    </w:pPr>
    <w:rPr>
      <w:szCs w:val="20"/>
      <w:lang w:val="x-none" w:eastAsia="x-none"/>
    </w:rPr>
  </w:style>
  <w:style w:type="paragraph" w:styleId="Style25">
    <w:name w:val="Колонтитул"/>
    <w:basedOn w:val="Normal"/>
    <w:qFormat/>
    <w:pPr/>
    <w:rPr/>
  </w:style>
  <w:style w:type="paragraph" w:styleId="Style26">
    <w:name w:val="Колонтитулы"/>
    <w:basedOn w:val="Normal"/>
    <w:qFormat/>
    <w:pPr/>
    <w:rPr/>
  </w:style>
  <w:style w:type="paragraph" w:styleId="Header">
    <w:name w:val="header"/>
    <w:basedOn w:val="Normal"/>
    <w:link w:val="Style15"/>
    <w:pPr>
      <w:tabs>
        <w:tab w:val="clear" w:pos="708"/>
        <w:tab w:val="center" w:pos="4677" w:leader="none"/>
        <w:tab w:val="right" w:pos="9355" w:leader="none"/>
      </w:tabs>
    </w:pPr>
    <w:rPr>
      <w:sz w:val="24"/>
      <w:szCs w:val="24"/>
    </w:rPr>
  </w:style>
  <w:style w:type="paragraph" w:styleId="BodyTextIndent">
    <w:name w:val="Body Text Indent"/>
    <w:basedOn w:val="Normal"/>
    <w:pPr>
      <w:ind w:hanging="0" w:start="360" w:end="0"/>
    </w:pPr>
    <w:rPr>
      <w:sz w:val="24"/>
      <w:szCs w:val="24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BodyTextIndent2">
    <w:name w:val="Body Text Indent 2"/>
    <w:basedOn w:val="Normal"/>
    <w:link w:val="23"/>
    <w:qFormat/>
    <w:pPr>
      <w:spacing w:lineRule="auto" w:line="480" w:before="0" w:after="120"/>
      <w:ind w:hanging="0" w:start="283" w:end="0"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BodyTextIndent3">
    <w:name w:val="Body Text Indent 3"/>
    <w:basedOn w:val="Normal"/>
    <w:link w:val="32"/>
    <w:qFormat/>
    <w:pPr>
      <w:spacing w:before="0" w:after="120"/>
      <w:ind w:hanging="0" w:start="283" w:end="0"/>
    </w:pPr>
    <w:rPr>
      <w:sz w:val="16"/>
      <w:szCs w:val="16"/>
    </w:rPr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BlockText">
    <w:name w:val="Block Text"/>
    <w:basedOn w:val="Normal"/>
    <w:qFormat/>
    <w:pPr>
      <w:ind w:hanging="0" w:start="-567" w:end="-766"/>
      <w:jc w:val="center"/>
    </w:pPr>
    <w:rPr>
      <w:b/>
      <w:bCs/>
      <w:sz w:val="24"/>
      <w:szCs w:val="20"/>
    </w:rPr>
  </w:style>
  <w:style w:type="paragraph" w:styleId="Style27">
    <w:name w:val="Подпункт"/>
    <w:basedOn w:val="Normal"/>
    <w:link w:val="11"/>
    <w:qFormat/>
    <w:pPr>
      <w:tabs>
        <w:tab w:val="clear" w:pos="708"/>
        <w:tab w:val="left" w:pos="1134" w:leader="none"/>
      </w:tabs>
      <w:snapToGrid w:val="false"/>
      <w:spacing w:lineRule="auto" w:line="360"/>
      <w:ind w:hanging="1134" w:start="1134" w:end="0"/>
      <w:jc w:val="both"/>
    </w:pPr>
    <w:rPr>
      <w:szCs w:val="20"/>
      <w:lang w:val="x-none" w:eastAsia="x-none"/>
    </w:rPr>
  </w:style>
  <w:style w:type="paragraph" w:styleId="26">
    <w:name w:val="Пункт2"/>
    <w:basedOn w:val="Normal"/>
    <w:link w:val="22"/>
    <w:qFormat/>
    <w:pPr>
      <w:keepNext w:val="true"/>
      <w:numPr>
        <w:ilvl w:val="0"/>
        <w:numId w:val="0"/>
      </w:numPr>
      <w:tabs>
        <w:tab w:val="clear" w:pos="708"/>
        <w:tab w:val="left" w:pos="1134" w:leader="none"/>
      </w:tabs>
      <w:snapToGrid w:val="false"/>
      <w:spacing w:before="240" w:after="120"/>
      <w:ind w:hanging="1134" w:start="1134" w:end="0"/>
      <w:outlineLvl w:val="2"/>
    </w:pPr>
    <w:rPr>
      <w:b/>
      <w:szCs w:val="20"/>
    </w:rPr>
  </w:style>
  <w:style w:type="paragraph" w:styleId="TOC1">
    <w:name w:val="toc 1"/>
    <w:basedOn w:val="Normal"/>
    <w:next w:val="Normal"/>
    <w:autoRedefine/>
    <w:pPr>
      <w:spacing w:before="120" w:after="0"/>
    </w:pPr>
    <w:rPr>
      <w:rFonts w:cs="Calibri Light (Заголовки)"/>
      <w:b/>
      <w:bCs/>
      <w:sz w:val="24"/>
      <w:szCs w:val="24"/>
    </w:rPr>
  </w:style>
  <w:style w:type="paragraph" w:styleId="TOC3">
    <w:name w:val="toc 3"/>
    <w:basedOn w:val="Normal"/>
    <w:next w:val="Normal"/>
    <w:autoRedefine/>
    <w:pPr>
      <w:ind w:hanging="0" w:start="280" w:end="0"/>
    </w:pPr>
    <w:rPr>
      <w:rFonts w:cs="Calibri"/>
      <w:sz w:val="20"/>
      <w:szCs w:val="20"/>
    </w:rPr>
  </w:style>
  <w:style w:type="paragraph" w:styleId="Style28">
    <w:name w:val="Раздел регламента"/>
    <w:basedOn w:val="Normal"/>
    <w:qFormat/>
    <w:pPr/>
    <w:rPr/>
  </w:style>
  <w:style w:type="paragraph" w:styleId="Style29">
    <w:name w:val="Приложение к регламенту"/>
    <w:basedOn w:val="Normal"/>
    <w:qFormat/>
    <w:pPr>
      <w:jc w:val="end"/>
    </w:pPr>
    <w:rPr/>
  </w:style>
  <w:style w:type="paragraph" w:styleId="TOC2">
    <w:name w:val="toc 2"/>
    <w:basedOn w:val="Normal"/>
    <w:next w:val="Normal"/>
    <w:autoRedefine/>
    <w:pPr>
      <w:spacing w:before="240" w:after="0"/>
    </w:pPr>
    <w:rPr>
      <w:rFonts w:cs="Calibri"/>
      <w:b/>
      <w:bCs/>
      <w:sz w:val="20"/>
      <w:szCs w:val="20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Style16"/>
    <w:qFormat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qFormat/>
    <w:pPr/>
    <w:rPr>
      <w:b/>
      <w:bCs/>
    </w:rPr>
  </w:style>
  <w:style w:type="paragraph" w:styleId="18">
    <w:name w:val="Обычный (веб)1"/>
    <w:basedOn w:val="Normal"/>
    <w:qFormat/>
    <w:pPr>
      <w:spacing w:before="280" w:after="280"/>
    </w:pPr>
    <w:rPr>
      <w:rFonts w:ascii="Arial Unicode MS" w:hAnsi="Arial Unicode MS" w:eastAsia="Arial Unicode MS" w:cs="Arial Unicode MS"/>
      <w:sz w:val="24"/>
      <w:szCs w:val="24"/>
    </w:rPr>
  </w:style>
  <w:style w:type="paragraph" w:styleId="TOC9">
    <w:name w:val="toc 9"/>
    <w:basedOn w:val="Normal"/>
    <w:next w:val="Normal"/>
    <w:autoRedefine/>
    <w:pPr>
      <w:ind w:hanging="0" w:start="1960" w:end="0"/>
    </w:pPr>
    <w:rPr>
      <w:rFonts w:ascii="Calibri" w:hAnsi="Calibri" w:cs="Calibri"/>
      <w:sz w:val="20"/>
      <w:szCs w:val="20"/>
    </w:rPr>
  </w:style>
  <w:style w:type="paragraph" w:styleId="TOC5">
    <w:name w:val="toc 5"/>
    <w:basedOn w:val="Normal"/>
    <w:next w:val="Normal"/>
    <w:autoRedefine/>
    <w:pPr>
      <w:ind w:hanging="0" w:start="840" w:end="0"/>
    </w:pPr>
    <w:rPr>
      <w:rFonts w:ascii="Calibri" w:hAnsi="Calibri" w:cs="Calibri"/>
      <w:sz w:val="20"/>
      <w:szCs w:val="20"/>
    </w:rPr>
  </w:style>
  <w:style w:type="paragraph" w:styleId="TOC4">
    <w:name w:val="toc 4"/>
    <w:basedOn w:val="Normal"/>
    <w:next w:val="Normal"/>
    <w:autoRedefine/>
    <w:pPr>
      <w:ind w:hanging="0" w:start="560" w:end="0"/>
    </w:pPr>
    <w:rPr>
      <w:rFonts w:cs="Calibri"/>
      <w:sz w:val="20"/>
      <w:szCs w:val="20"/>
    </w:rPr>
  </w:style>
  <w:style w:type="paragraph" w:styleId="27">
    <w:name w:val="Раздел положения 2"/>
    <w:basedOn w:val="Normal"/>
    <w:qFormat/>
    <w:pPr>
      <w:pageBreakBefore/>
      <w:numPr>
        <w:ilvl w:val="0"/>
        <w:numId w:val="0"/>
      </w:numPr>
      <w:jc w:val="both"/>
      <w:outlineLvl w:val="0"/>
    </w:pPr>
    <w:rPr>
      <w:b/>
    </w:rPr>
  </w:style>
  <w:style w:type="paragraph" w:styleId="Style30">
    <w:name w:val="Знак Знак Знак Знак Знак Знак Знак Знак Знак"/>
    <w:basedOn w:val="Normal"/>
    <w:qFormat/>
    <w:pPr>
      <w:spacing w:lineRule="exact" w:line="240" w:before="0" w:after="160"/>
      <w:jc w:val="both"/>
    </w:pPr>
    <w:rPr>
      <w:rFonts w:ascii="Verdana" w:hAnsi="Verdana" w:cs="Verdana"/>
      <w:sz w:val="22"/>
      <w:szCs w:val="22"/>
      <w:lang w:val="en-US" w:eastAsia="en-US"/>
    </w:rPr>
  </w:style>
  <w:style w:type="paragraph" w:styleId="NoSpacing">
    <w:name w:val="No Spacing"/>
    <w:basedOn w:val="Normal"/>
    <w:qFormat/>
    <w:pPr>
      <w:spacing w:lineRule="auto" w:line="360"/>
    </w:pPr>
    <w:rPr>
      <w:rFonts w:eastAsia="Calibri"/>
      <w:sz w:val="24"/>
      <w:szCs w:val="24"/>
    </w:rPr>
  </w:style>
  <w:style w:type="paragraph" w:styleId="Subtitle">
    <w:name w:val="Subtitle"/>
    <w:basedOn w:val="Normal"/>
    <w:next w:val="Normal"/>
    <w:link w:val="Style7"/>
    <w:qFormat/>
    <w:pPr>
      <w:ind w:firstLine="709" w:start="1066" w:end="0"/>
    </w:pPr>
    <w:rPr>
      <w:rFonts w:ascii="Cambria" w:hAnsi="Cambria"/>
      <w:i/>
      <w:iCs/>
      <w:color w:val="4F81BD"/>
      <w:spacing w:val="15"/>
      <w:sz w:val="24"/>
      <w:szCs w:val="24"/>
      <w:lang w:val="x-none" w:eastAsia="x-none"/>
    </w:rPr>
  </w:style>
  <w:style w:type="paragraph" w:styleId="ListParagraph">
    <w:name w:val="List Paragraph"/>
    <w:basedOn w:val="Normal"/>
    <w:link w:val="Style12"/>
    <w:qFormat/>
    <w:pPr>
      <w:spacing w:before="0" w:after="0"/>
      <w:ind w:hanging="0" w:start="720" w:end="0"/>
      <w:contextualSpacing/>
    </w:pPr>
    <w:rPr>
      <w:rFonts w:eastAsia="Calibri"/>
      <w:sz w:val="24"/>
      <w:szCs w:val="24"/>
    </w:rPr>
  </w:style>
  <w:style w:type="paragraph" w:styleId="Quote">
    <w:name w:val="Quote"/>
    <w:basedOn w:val="Normal"/>
    <w:next w:val="Normal"/>
    <w:link w:val="21"/>
    <w:qFormat/>
    <w:pPr/>
    <w:rPr>
      <w:rFonts w:ascii="Calibri" w:hAnsi="Calibri" w:eastAsia="Calibri"/>
      <w:i/>
      <w:iCs/>
      <w:color w:val="000000"/>
      <w:sz w:val="20"/>
      <w:szCs w:val="20"/>
      <w:lang w:val="x-none" w:eastAsia="x-none"/>
    </w:rPr>
  </w:style>
  <w:style w:type="paragraph" w:styleId="IntenseQuote">
    <w:name w:val="Intense Quote"/>
    <w:basedOn w:val="Normal"/>
    <w:next w:val="Normal"/>
    <w:link w:val="Style8"/>
    <w:qFormat/>
    <w:pPr>
      <w:pBdr>
        <w:bottom w:val="single" w:sz="4" w:space="4" w:color="4F81BD"/>
      </w:pBdr>
      <w:spacing w:before="200" w:after="280"/>
      <w:ind w:hanging="0" w:start="936" w:end="936"/>
    </w:pPr>
    <w:rPr>
      <w:rFonts w:ascii="Calibri" w:hAnsi="Calibri" w:eastAsia="Calibri"/>
      <w:b/>
      <w:bCs/>
      <w:i/>
      <w:iCs/>
      <w:color w:val="4F81BD"/>
      <w:sz w:val="20"/>
      <w:szCs w:val="20"/>
      <w:lang w:val="x-none" w:eastAsia="x-none"/>
    </w:rPr>
  </w:style>
  <w:style w:type="paragraph" w:styleId="IndexHeading">
    <w:name w:val="index heading"/>
    <w:basedOn w:val="user3"/>
    <w:pPr/>
    <w:rPr/>
  </w:style>
  <w:style w:type="paragraph" w:styleId="TOCHeading">
    <w:name w:val="TOC Heading"/>
    <w:basedOn w:val="Heading1"/>
    <w:next w:val="Normal"/>
    <w:qFormat/>
    <w:pPr>
      <w:keepLines/>
      <w:spacing w:before="480" w:after="60"/>
      <w:outlineLvl w:val="9"/>
    </w:pPr>
    <w:rPr>
      <w:rFonts w:ascii="Cambria" w:hAnsi="Cambria"/>
      <w:bCs/>
      <w:color w:val="365F91"/>
    </w:rPr>
  </w:style>
  <w:style w:type="paragraph" w:styleId="E-mailSignature">
    <w:name w:val="E-mail Signature"/>
    <w:basedOn w:val="Normal"/>
    <w:link w:val="Style9"/>
    <w:qFormat/>
    <w:pPr/>
    <w:rPr>
      <w:rFonts w:eastAsia="Calibri"/>
      <w:sz w:val="24"/>
      <w:szCs w:val="24"/>
      <w:lang w:val="x-none" w:eastAsia="x-none"/>
    </w:rPr>
  </w:style>
  <w:style w:type="paragraph" w:styleId="Style31">
    <w:name w:val="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 w:eastAsia="en-US"/>
    </w:rPr>
  </w:style>
  <w:style w:type="paragraph" w:styleId="34">
    <w:name w:val="Нумерованный список ур3"/>
    <w:basedOn w:val="Normal"/>
    <w:qFormat/>
    <w:pPr>
      <w:numPr>
        <w:ilvl w:val="2"/>
        <w:numId w:val="2"/>
      </w:numPr>
      <w:jc w:val="both"/>
    </w:pPr>
    <w:rPr>
      <w:rFonts w:ascii="Garamond" w:hAnsi="Garamond"/>
      <w:sz w:val="24"/>
      <w:szCs w:val="20"/>
    </w:rPr>
  </w:style>
  <w:style w:type="paragraph" w:styleId="ListBullet4">
    <w:name w:val="List Bullet 4"/>
    <w:basedOn w:val="Normal"/>
    <w:qFormat/>
    <w:pPr>
      <w:numPr>
        <w:ilvl w:val="0"/>
        <w:numId w:val="2"/>
      </w:numPr>
      <w:spacing w:before="120" w:after="0"/>
      <w:jc w:val="both"/>
    </w:pPr>
    <w:rPr>
      <w:rFonts w:ascii="Garamond" w:hAnsi="Garamond"/>
      <w:sz w:val="24"/>
      <w:szCs w:val="20"/>
    </w:rPr>
  </w:style>
  <w:style w:type="paragraph" w:styleId="28">
    <w:name w:val="Нумерованный список ур2"/>
    <w:basedOn w:val="Normal"/>
    <w:qFormat/>
    <w:pPr>
      <w:numPr>
        <w:ilvl w:val="1"/>
        <w:numId w:val="2"/>
      </w:numPr>
      <w:spacing w:before="120" w:after="0"/>
      <w:jc w:val="both"/>
    </w:pPr>
    <w:rPr>
      <w:rFonts w:ascii="Garamond" w:hAnsi="Garamond"/>
      <w:sz w:val="24"/>
      <w:szCs w:val="20"/>
    </w:rPr>
  </w:style>
  <w:style w:type="paragraph" w:styleId="Revision">
    <w:name w:val="Revision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Times New Roman" w:hAnsi="Times New Roman" w:eastAsia="Calibri" w:cs="Times New Roman"/>
      <w:color w:val="auto"/>
      <w:kern w:val="0"/>
      <w:sz w:val="24"/>
      <w:szCs w:val="24"/>
      <w:lang w:val="ru-RU" w:eastAsia="ru-RU" w:bidi="ar-SA"/>
    </w:rPr>
  </w:style>
  <w:style w:type="paragraph" w:styleId="ConsPlusNormal1">
    <w:name w:val="ConsPlusNormal"/>
    <w:link w:val="ConsPlusNormal"/>
    <w:qFormat/>
    <w:pPr>
      <w:widowControl w:val="false"/>
      <w:suppressAutoHyphens w:val="true"/>
      <w:overflowPunct w:val="true"/>
      <w:bidi w:val="0"/>
      <w:spacing w:before="0" w:after="0"/>
      <w:ind w:firstLine="720" w:start="0" w:end="0"/>
      <w:jc w:val="start"/>
    </w:pPr>
    <w:rPr>
      <w:rFonts w:ascii="Arial" w:hAnsi="Arial" w:eastAsia="Times New Roman" w:cs="Arial"/>
      <w:color w:val="auto"/>
      <w:kern w:val="0"/>
      <w:sz w:val="20"/>
      <w:szCs w:val="20"/>
      <w:lang w:val="ru-RU" w:eastAsia="ru-RU" w:bidi="ar-SA"/>
    </w:rPr>
  </w:style>
  <w:style w:type="paragraph" w:styleId="35">
    <w:name w:val="Знак Знак3 Знак Знак"/>
    <w:basedOn w:val="Normal"/>
    <w:qFormat/>
    <w:pPr>
      <w:spacing w:lineRule="exact" w:line="240" w:before="0" w:after="160"/>
      <w:jc w:val="both"/>
    </w:pPr>
    <w:rPr>
      <w:rFonts w:ascii="Verdana" w:hAnsi="Verdana" w:cs="Verdana"/>
      <w:sz w:val="22"/>
      <w:szCs w:val="22"/>
      <w:lang w:val="en-US" w:eastAsia="en-US"/>
    </w:rPr>
  </w:style>
  <w:style w:type="paragraph" w:styleId="Style32">
    <w:name w:val="Пункт"/>
    <w:basedOn w:val="Normal"/>
    <w:qFormat/>
    <w:pPr>
      <w:widowControl w:val="false"/>
      <w:tabs>
        <w:tab w:val="clear" w:pos="708"/>
        <w:tab w:val="left" w:pos="1134" w:leader="none"/>
      </w:tabs>
      <w:spacing w:lineRule="auto" w:line="360" w:before="120" w:after="0"/>
      <w:ind w:hanging="1134" w:start="1134" w:end="800"/>
      <w:jc w:val="both"/>
    </w:pPr>
    <w:rPr>
      <w:rFonts w:ascii="Arial" w:hAnsi="Arial"/>
      <w:b/>
      <w:i/>
      <w:szCs w:val="20"/>
    </w:rPr>
  </w:style>
  <w:style w:type="paragraph" w:styleId="19">
    <w:name w:val="Абзац списка1"/>
    <w:basedOn w:val="Normal"/>
    <w:qFormat/>
    <w:pPr>
      <w:spacing w:lineRule="auto" w:line="276" w:before="0" w:after="200"/>
      <w:ind w:hanging="0" w:start="720" w:end="0"/>
      <w:contextualSpacing/>
    </w:pPr>
    <w:rPr>
      <w:rFonts w:ascii="Calibri" w:hAnsi="Calibri"/>
      <w:sz w:val="22"/>
      <w:szCs w:val="22"/>
      <w:lang w:eastAsia="en-US"/>
    </w:rPr>
  </w:style>
  <w:style w:type="paragraph" w:styleId="user5">
    <w:name w:val="Таблица (user)"/>
    <w:basedOn w:val="Normal"/>
    <w:qFormat/>
    <w:pPr>
      <w:keepNext w:val="true"/>
      <w:spacing w:before="60" w:after="60"/>
      <w:jc w:val="center"/>
    </w:pPr>
    <w:rPr>
      <w:rFonts w:eastAsia="Calibri"/>
      <w:b/>
      <w:sz w:val="24"/>
      <w:szCs w:val="24"/>
      <w:lang w:val="x-none" w:eastAsia="x-none"/>
    </w:rPr>
  </w:style>
  <w:style w:type="paragraph" w:styleId="Style33">
    <w:name w:val="Таблица шапка"/>
    <w:basedOn w:val="Normal"/>
    <w:qFormat/>
    <w:pPr>
      <w:keepNext w:val="true"/>
      <w:spacing w:before="40" w:after="40"/>
      <w:ind w:hanging="0" w:start="57" w:end="57"/>
    </w:pPr>
    <w:rPr>
      <w:sz w:val="22"/>
      <w:szCs w:val="26"/>
    </w:rPr>
  </w:style>
  <w:style w:type="paragraph" w:styleId="Style34">
    <w:name w:val="Подподпункт"/>
    <w:basedOn w:val="Style27"/>
    <w:link w:val="Style14"/>
    <w:qFormat/>
    <w:pPr>
      <w:tabs>
        <w:tab w:val="clear" w:pos="1134"/>
        <w:tab w:val="left" w:pos="5104" w:leader="none"/>
      </w:tabs>
      <w:snapToGrid w:val="true"/>
      <w:spacing w:lineRule="auto" w:line="240" w:before="120" w:after="0"/>
      <w:ind w:hanging="567" w:start="5104" w:end="0"/>
    </w:pPr>
    <w:rPr>
      <w:sz w:val="26"/>
      <w:szCs w:val="26"/>
      <w:lang w:val="ru-RU" w:eastAsia="ru-RU"/>
    </w:rPr>
  </w:style>
  <w:style w:type="paragraph" w:styleId="Style35">
    <w:name w:val="УРОВЕНЬ_(а)"/>
    <w:basedOn w:val="ListParagraph"/>
    <w:qFormat/>
    <w:pPr>
      <w:numPr>
        <w:ilvl w:val="3"/>
        <w:numId w:val="4"/>
      </w:numPr>
      <w:spacing w:lineRule="exact" w:line="360" w:before="120" w:after="0"/>
      <w:contextualSpacing w:val="false"/>
      <w:jc w:val="both"/>
      <w:outlineLvl w:val="3"/>
    </w:pPr>
    <w:rPr>
      <w:sz w:val="26"/>
      <w:szCs w:val="28"/>
      <w:lang w:eastAsia="en-US"/>
    </w:rPr>
  </w:style>
  <w:style w:type="paragraph" w:styleId="-">
    <w:name w:val="УРОВЕНЬ_-"/>
    <w:basedOn w:val="ListParagraph"/>
    <w:qFormat/>
    <w:pPr>
      <w:numPr>
        <w:ilvl w:val="4"/>
        <w:numId w:val="4"/>
      </w:numPr>
      <w:spacing w:lineRule="exact" w:line="360" w:before="120" w:after="0"/>
      <w:contextualSpacing w:val="false"/>
      <w:jc w:val="both"/>
      <w:outlineLvl w:val="4"/>
    </w:pPr>
    <w:rPr>
      <w:sz w:val="26"/>
      <w:szCs w:val="28"/>
      <w:lang w:eastAsia="en-US"/>
    </w:rPr>
  </w:style>
  <w:style w:type="paragraph" w:styleId="29">
    <w:name w:val="УРОВЕНЬ_Абзац_тип2"/>
    <w:basedOn w:val="ListParagraph"/>
    <w:qFormat/>
    <w:pPr>
      <w:numPr>
        <w:ilvl w:val="6"/>
        <w:numId w:val="4"/>
      </w:numPr>
      <w:spacing w:lineRule="exact" w:line="360" w:before="120" w:after="0"/>
      <w:contextualSpacing w:val="false"/>
      <w:jc w:val="both"/>
    </w:pPr>
    <w:rPr>
      <w:sz w:val="26"/>
      <w:szCs w:val="28"/>
      <w:lang w:eastAsia="en-US"/>
    </w:rPr>
  </w:style>
  <w:style w:type="paragraph" w:styleId="36">
    <w:name w:val="УРОВЕНЬ_Абзац_тип3"/>
    <w:basedOn w:val="ListParagraph"/>
    <w:link w:val="31"/>
    <w:qFormat/>
    <w:pPr>
      <w:numPr>
        <w:ilvl w:val="7"/>
        <w:numId w:val="4"/>
      </w:numPr>
      <w:spacing w:lineRule="exact" w:line="360" w:before="120" w:after="0"/>
      <w:contextualSpacing w:val="false"/>
      <w:jc w:val="both"/>
    </w:pPr>
    <w:rPr>
      <w:sz w:val="26"/>
      <w:szCs w:val="28"/>
      <w:lang w:eastAsia="en-US"/>
    </w:rPr>
  </w:style>
  <w:style w:type="paragraph" w:styleId="Style36">
    <w:name w:val="УРОВЕНЬ_Подпись"/>
    <w:basedOn w:val="ListParagraph"/>
    <w:qFormat/>
    <w:pPr>
      <w:keepNext w:val="true"/>
      <w:numPr>
        <w:ilvl w:val="5"/>
        <w:numId w:val="4"/>
      </w:numPr>
      <w:spacing w:lineRule="exact" w:line="360" w:before="120" w:after="120"/>
      <w:contextualSpacing w:val="false"/>
      <w:jc w:val="end"/>
      <w:outlineLvl w:val="3"/>
    </w:pPr>
    <w:rPr>
      <w:sz w:val="26"/>
      <w:szCs w:val="28"/>
      <w:lang w:eastAsia="en-US"/>
    </w:rPr>
  </w:style>
  <w:style w:type="paragraph" w:styleId="110">
    <w:name w:val="Стиль Заголовок 1 + по ширине"/>
    <w:basedOn w:val="Heading1"/>
    <w:qFormat/>
    <w:pPr>
      <w:keepLines/>
      <w:tabs>
        <w:tab w:val="clear" w:pos="0"/>
        <w:tab w:val="left" w:pos="567" w:leader="none"/>
      </w:tabs>
      <w:spacing w:before="480" w:after="240"/>
      <w:ind w:hanging="567" w:start="567" w:end="0"/>
      <w:jc w:val="both"/>
    </w:pPr>
    <w:rPr>
      <w:rFonts w:ascii="Arial" w:hAnsi="Arial" w:eastAsia="Times New Roman"/>
      <w:bCs/>
      <w:kern w:val="2"/>
      <w:sz w:val="40"/>
      <w:szCs w:val="20"/>
      <w:lang w:val="ru-RU" w:eastAsia="ru-RU"/>
    </w:rPr>
  </w:style>
  <w:style w:type="paragraph" w:styleId="EndnoteText">
    <w:name w:val="endnote text"/>
    <w:basedOn w:val="Normal"/>
    <w:link w:val="Style17"/>
    <w:pPr/>
    <w:rPr>
      <w:sz w:val="20"/>
      <w:szCs w:val="20"/>
    </w:rPr>
  </w:style>
  <w:style w:type="paragraph" w:styleId="210">
    <w:name w:val="Заголовок 2 КВВ"/>
    <w:basedOn w:val="Normal"/>
    <w:qFormat/>
    <w:pPr>
      <w:keepNext w:val="true"/>
      <w:numPr>
        <w:ilvl w:val="0"/>
        <w:numId w:val="5"/>
      </w:numPr>
      <w:spacing w:before="120" w:after="120"/>
      <w:jc w:val="both"/>
      <w:outlineLvl w:val="0"/>
    </w:pPr>
    <w:rPr>
      <w:b/>
      <w:kern w:val="2"/>
      <w:sz w:val="24"/>
      <w:szCs w:val="20"/>
      <w:lang w:eastAsia="x-none"/>
    </w:rPr>
  </w:style>
  <w:style w:type="paragraph" w:styleId="Style37">
    <w:name w:val="Таблица текст"/>
    <w:basedOn w:val="Normal"/>
    <w:qFormat/>
    <w:pPr>
      <w:spacing w:before="40" w:after="40"/>
      <w:ind w:hanging="0" w:start="57" w:end="57"/>
    </w:pPr>
    <w:rPr>
      <w:sz w:val="24"/>
      <w:szCs w:val="26"/>
    </w:rPr>
  </w:style>
  <w:style w:type="paragraph" w:styleId="NormalWeb">
    <w:name w:val="Normal (Web)"/>
    <w:basedOn w:val="Normal"/>
    <w:qFormat/>
    <w:pPr>
      <w:spacing w:before="280" w:after="280"/>
    </w:pPr>
    <w:rPr>
      <w:sz w:val="24"/>
      <w:szCs w:val="24"/>
    </w:rPr>
  </w:style>
  <w:style w:type="paragraph" w:styleId="111">
    <w:name w:val="УРОВЕНЬ_1."/>
    <w:basedOn w:val="ListParagraph"/>
    <w:link w:val="12"/>
    <w:qFormat/>
    <w:pPr>
      <w:keepNext w:val="true"/>
      <w:keepLines/>
      <w:numPr>
        <w:ilvl w:val="0"/>
        <w:numId w:val="0"/>
      </w:numPr>
      <w:spacing w:lineRule="auto" w:line="276" w:before="240" w:after="120"/>
      <w:ind w:hanging="0" w:start="0" w:end="0"/>
      <w:contextualSpacing w:val="false"/>
      <w:jc w:val="both"/>
      <w:outlineLvl w:val="0"/>
    </w:pPr>
    <w:rPr>
      <w:caps/>
      <w:sz w:val="28"/>
      <w:szCs w:val="28"/>
      <w:lang w:eastAsia="en-US"/>
    </w:rPr>
  </w:style>
  <w:style w:type="paragraph" w:styleId="TOC6">
    <w:name w:val="toc 6"/>
    <w:basedOn w:val="Normal"/>
    <w:next w:val="Normal"/>
    <w:autoRedefine/>
    <w:pPr>
      <w:ind w:hanging="0" w:start="1120" w:end="0"/>
    </w:pPr>
    <w:rPr>
      <w:rFonts w:ascii="Calibri" w:hAnsi="Calibri" w:cs="Calibri"/>
      <w:sz w:val="20"/>
      <w:szCs w:val="20"/>
    </w:rPr>
  </w:style>
  <w:style w:type="paragraph" w:styleId="TOC7">
    <w:name w:val="toc 7"/>
    <w:basedOn w:val="Normal"/>
    <w:next w:val="Normal"/>
    <w:autoRedefine/>
    <w:pPr>
      <w:ind w:hanging="0" w:start="1400" w:end="0"/>
    </w:pPr>
    <w:rPr>
      <w:rFonts w:ascii="Calibri" w:hAnsi="Calibri" w:cs="Calibri"/>
      <w:sz w:val="20"/>
      <w:szCs w:val="20"/>
    </w:rPr>
  </w:style>
  <w:style w:type="paragraph" w:styleId="TOC8">
    <w:name w:val="toc 8"/>
    <w:basedOn w:val="Normal"/>
    <w:next w:val="Normal"/>
    <w:autoRedefine/>
    <w:pPr>
      <w:ind w:hanging="0" w:start="1680" w:end="0"/>
    </w:pPr>
    <w:rPr>
      <w:rFonts w:ascii="Calibri" w:hAnsi="Calibri" w:cs="Calibri"/>
      <w:sz w:val="20"/>
      <w:szCs w:val="20"/>
    </w:rPr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ru-RU" w:bidi="ar-SA"/>
    </w:rPr>
  </w:style>
  <w:style w:type="paragraph" w:styleId="user6">
    <w:name w:val="Содержимое врезки (user)"/>
    <w:basedOn w:val="Normal"/>
    <w:qFormat/>
    <w:pPr/>
    <w:rPr/>
  </w:style>
  <w:style w:type="paragraph" w:styleId="user7">
    <w:name w:val="Верхний колонтитул слева (user)"/>
    <w:basedOn w:val="Header"/>
    <w:qFormat/>
    <w:pPr/>
    <w:rPr/>
  </w:style>
  <w:style w:type="paragraph" w:styleId="user8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9">
    <w:name w:val="Заголовок таблицы (user)"/>
    <w:basedOn w:val="user8"/>
    <w:qFormat/>
    <w:pPr>
      <w:jc w:val="center"/>
    </w:pPr>
    <w:rPr>
      <w:b/>
      <w:bCs/>
    </w:rPr>
  </w:style>
  <w:style w:type="paragraph" w:styleId="Style38">
    <w:name w:val="Комментарий"/>
    <w:basedOn w:val="Normal"/>
    <w:qFormat/>
    <w:pPr>
      <w:spacing w:before="56" w:after="0"/>
      <w:ind w:hanging="0" w:start="57" w:end="57"/>
    </w:pPr>
    <w:rPr>
      <w:sz w:val="20"/>
      <w:szCs w:val="20"/>
    </w:rPr>
  </w:style>
  <w:style w:type="numbering" w:styleId="user10">
    <w:name w:val="Без списка (user)"/>
    <w:qFormat/>
  </w:style>
  <w:style w:type="numbering" w:styleId="112">
    <w:name w:val="Стиль1"/>
    <w:qFormat/>
  </w:style>
  <w:style w:type="numbering" w:styleId="211">
    <w:name w:val="Стиль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yperlink" Target="https://www.detmir.ru/product/index/id/6697196/" TargetMode="External"/><Relationship Id="rId6" Type="http://schemas.openxmlformats.org/officeDocument/2006/relationships/hyperlink" Target="https://3d-diy.ru/blog/instrumenty-dlya-fff-3d-pechat/?srsltid=AfmBOooUfE8nm63LHAzNcnMzf4ewD4P5jR-enpuR8KIFtNLYON6E5Xl-" TargetMode="External"/><Relationship Id="rId7" Type="http://schemas.openxmlformats.org/officeDocument/2006/relationships/header" Target="header4.xml"/><Relationship Id="rId8" Type="http://schemas.openxmlformats.org/officeDocument/2006/relationships/header" Target="header5.xml"/><Relationship Id="rId9" Type="http://schemas.openxmlformats.org/officeDocument/2006/relationships/header" Target="header6.xml"/><Relationship Id="rId10" Type="http://schemas.openxmlformats.org/officeDocument/2006/relationships/header" Target="header7.xml"/><Relationship Id="rId11" Type="http://schemas.openxmlformats.org/officeDocument/2006/relationships/header" Target="header8.xml"/><Relationship Id="rId12" Type="http://schemas.openxmlformats.org/officeDocument/2006/relationships/header" Target="header9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Application>LibreOffice/25.8.5.2$Windows_X86_64 LibreOffice_project/9c8b85f387cc00a89945a79c9e6239f32e450ac2</Application>
  <AppVersion>15.0000</AppVersion>
  <Pages>19</Pages>
  <Words>2246</Words>
  <Characters>15063</Characters>
  <CharactersWithSpaces>17032</CharactersWithSpaces>
  <Paragraphs>311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2026-08-20T06:54:00Z</dcterms:created>
  <dc:creator>Быстров Олег Геннадьевич</dc:creator>
  <dc:description/>
  <dc:language>ru-RU</dc:language>
  <cp:lastModifiedBy/>
  <cp:lastPrinted>2024-10-15T07:29:00Z</cp:lastPrinted>
  <dcterms:modified xsi:type="dcterms:W3CDTF">2026-09-18T10:56:56Z</dcterms:modified>
  <cp:revision>24</cp:revision>
  <dc:subject/>
  <dc:title>Российское открытое акционерное общество энергетики и электрификации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