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4142B"/>
          <w:sz w:val="40"/>
          <w:szCs w:val="40"/>
        </w:rPr>
        <w:t xml:space="preserve">«Тендерный юрист»</w:t>
      </w:r>
    </w:p>
    <w:p>
      <w:pPr>
        <w:spacing w:after="100"/>
      </w:pPr>
      <w:r>
        <w:rPr>
          <w:rFonts w:ascii="Calibri" w:cs="Calibri" w:eastAsia="Calibri" w:hAnsi="Calibri"/>
          <w:color w:val="312E81"/>
          <w:sz w:val="28"/>
          <w:szCs w:val="28"/>
        </w:rPr>
        <w:t xml:space="preserve">Обработка данных: коротко и перечень документов</w:t>
      </w:r>
    </w:p>
    <w:p>
      <w:pPr>
        <w:spacing w:after="100" w:before="0" w:line="264"/>
      </w:pPr>
      <w:r>
        <w:rPr>
          <w:rFonts w:ascii="Calibri" w:cs="Calibri" w:eastAsia="Calibri" w:hAnsi="Calibri"/>
          <w:color w:val="5B5B70"/>
          <w:sz w:val="19"/>
          <w:szCs w:val="19"/>
        </w:rPr>
        <w:t xml:space="preserve">20 октября 2026 г. Схема: всё на российских серверах (решение владельца). Основа для юриста и IT-специалиста; полноту и формулировки подтверждает юрист.</w:t>
      </w:r>
    </w:p>
    <w:p>
      <w:pPr>
        <w:pStyle w:val="Heading1"/>
        <w:keepNext/>
        <w:pBdr>
          <w:bottom w:val="single" w:color="CFCFE0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312E81"/>
          <w:sz w:val="28"/>
          <w:szCs w:val="28"/>
        </w:rPr>
        <w:t xml:space="preserve">Что проект будет делать с данными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E2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b/>
                <w:bCs/>
                <w:color w:val="14142B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73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E2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b/>
                <w:bCs/>
                <w:color w:val="14142B"/>
                <w:sz w:val="19"/>
                <w:szCs w:val="19"/>
              </w:rPr>
              <w:t xml:space="preserve">Коротко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F4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b/>
                <w:bCs/>
                <w:color w:val="14142B"/>
                <w:sz w:val="19"/>
                <w:szCs w:val="19"/>
              </w:rPr>
              <w:t xml:space="preserve">Кто оператор</w:t>
            </w:r>
          </w:p>
        </w:tc>
        <w:tc>
          <w:tcPr>
            <w:tcW w:type="dxa" w:w="73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Владелец сервиса (ИП или организация; реквизиты задаются в </w:t>
            </w:r>
            <w:r>
              <w:rPr>
                <w:rFonts w:ascii="Consolas" w:cs="Consolas" w:eastAsia="Consolas" w:hAnsi="Consolas"/>
                <w:color w:val="14142B"/>
                <w:sz w:val="17"/>
                <w:szCs w:val="17"/>
              </w:rPr>
              <w:t xml:space="preserve">OPERATOR_*</w:t>
            </w: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). Клиенты — поставщики, которые участвуют в закупках по 44-ФЗ и 223-ФЗ.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F4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b/>
                <w:bCs/>
                <w:color w:val="14142B"/>
                <w:sz w:val="19"/>
                <w:szCs w:val="19"/>
              </w:rPr>
              <w:t xml:space="preserve">Какие данные</w:t>
            </w:r>
          </w:p>
        </w:tc>
        <w:tc>
          <w:tcPr>
            <w:tcW w:type="dxa" w:w="73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Реквизиты организации. ФИО, телефон и почта руководителя, подписанта и контактного лица. Данные сотрудников и исполнителей, которых клиент вносит в заявку. Документы закупки и заявки (файлы, сканы). Переписка с ИИ. Учётные записи (почта, хеш пароля). IP-адреса. Отметки согласий. Позже — статус платежа.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F4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b/>
                <w:bCs/>
                <w:color w:val="14142B"/>
                <w:sz w:val="19"/>
                <w:szCs w:val="19"/>
              </w:rPr>
              <w:t xml:space="preserve">Зачем</w:t>
            </w:r>
          </w:p>
        </w:tc>
        <w:tc>
          <w:tcPr>
            <w:tcW w:type="dxa" w:w="73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Разобрать документы закупки, составить и проверить заявку, вести базу доказательств компании, обеспечить вход и учёт, принять оплату.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F4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b/>
                <w:bCs/>
                <w:color w:val="14142B"/>
                <w:sz w:val="19"/>
                <w:szCs w:val="19"/>
              </w:rPr>
              <w:t xml:space="preserve">Что делаем с данными</w:t>
            </w:r>
          </w:p>
        </w:tc>
        <w:tc>
          <w:tcPr>
            <w:tcW w:type="dxa" w:w="73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Собираем, записываем, храним, извлекаем текст из файлов, передаём модели ИИ для разбора, собираем документы заявки, удаляем по запросу.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F4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b/>
                <w:bCs/>
                <w:color w:val="14142B"/>
                <w:sz w:val="19"/>
                <w:szCs w:val="19"/>
              </w:rPr>
              <w:t xml:space="preserve">Где хранится и обрабатывается</w:t>
            </w:r>
          </w:p>
        </w:tc>
        <w:tc>
          <w:tcPr>
            <w:tcW w:type="dxa" w:w="73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Только в РФ: серверы приложения, база PostgreSQL, S3-хранилище, резервные копии, модель ИИ (российская), логи, почта.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F4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b/>
                <w:bCs/>
                <w:color w:val="14142B"/>
                <w:sz w:val="19"/>
                <w:szCs w:val="19"/>
              </w:rPr>
              <w:t xml:space="preserve">Кому передаём</w:t>
            </w:r>
          </w:p>
        </w:tc>
        <w:tc>
          <w:tcPr>
            <w:tcW w:type="dxa" w:w="73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Только российским обработчикам по договору поручения: хостинг, S3, модель ИИ, почта, платёжный провайдер. За границу не передаём. Другим лицам не передаём.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F4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b/>
                <w:bCs/>
                <w:color w:val="14142B"/>
                <w:sz w:val="19"/>
                <w:szCs w:val="19"/>
              </w:rPr>
              <w:t xml:space="preserve">Как защищаем</w:t>
            </w:r>
          </w:p>
        </w:tc>
        <w:tc>
          <w:tcPr>
            <w:tcW w:type="dxa" w:w="73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HTTPS. Шифрование дисков, S3 и копий. Доступ по ролям; данные разных организаций разделены. Журнал действий. Логи без персональных данных. Перед отправкой модели персональные данные заменяются метками. Двухфакторный вход для администраторов. Лимиты на вход.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F4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b/>
                <w:bCs/>
                <w:color w:val="14142B"/>
                <w:sz w:val="19"/>
                <w:szCs w:val="19"/>
              </w:rPr>
              <w:t xml:space="preserve">Сколько храним</w:t>
            </w:r>
          </w:p>
        </w:tc>
        <w:tc>
          <w:tcPr>
            <w:tcW w:type="dxa" w:w="73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Пока клиент пользуется сервисом. Удаляем по его запросу или при отзыве согласия (срок по закону уточняет юрист). Копии — 30 дней (предложено, не утверждено). IP для лимитов — не дольше 25 часов.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F4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b/>
                <w:bCs/>
                <w:color w:val="14142B"/>
                <w:sz w:val="19"/>
                <w:szCs w:val="19"/>
              </w:rPr>
              <w:t xml:space="preserve">Права клиента</w:t>
            </w:r>
          </w:p>
        </w:tc>
        <w:tc>
          <w:tcPr>
            <w:tcW w:type="dxa" w:w="73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Получить свои данные, исправить, заблокировать, удалить, отозвать согласие — обращением на почту оператора.</w:t>
            </w:r>
          </w:p>
        </w:tc>
      </w:tr>
    </w:tbl>
    <w:p>
      <w:pPr>
        <w:pStyle w:val="Heading1"/>
        <w:keepNext/>
        <w:pBdr>
          <w:bottom w:val="single" w:color="CFCFE0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312E81"/>
          <w:sz w:val="28"/>
          <w:szCs w:val="28"/>
        </w:rPr>
        <w:t xml:space="preserve">Какие документы потребуются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500"/>
        <w:gridCol w:w="2200"/>
        <w:gridCol w:w="1500"/>
        <w:gridCol w:w="1988"/>
      </w:tblGrid>
      <w:tr>
        <w:trPr>
          <w:tblHeader/>
        </w:trPr>
        <w:tc>
          <w:tcPr>
            <w:tcW w:type="dxa" w:w="45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E2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b/>
                <w:bCs/>
                <w:color w:val="14142B"/>
                <w:sz w:val="19"/>
                <w:szCs w:val="19"/>
              </w:rPr>
              <w:t xml:space="preserve">№</w:t>
            </w:r>
          </w:p>
        </w:tc>
        <w:tc>
          <w:tcPr>
            <w:tcW w:type="dxa" w:w="3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E2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b/>
                <w:bCs/>
                <w:color w:val="14142B"/>
                <w:sz w:val="19"/>
                <w:szCs w:val="19"/>
              </w:rPr>
              <w:t xml:space="preserve">Документ</w:t>
            </w:r>
          </w:p>
        </w:tc>
        <w:tc>
          <w:tcPr>
            <w:tcW w:type="dxa" w:w="22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E2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b/>
                <w:bCs/>
                <w:color w:val="14142B"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E2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b/>
                <w:bCs/>
                <w:color w:val="14142B"/>
                <w:sz w:val="19"/>
                <w:szCs w:val="19"/>
              </w:rPr>
              <w:t xml:space="preserve">Кто готовит</w:t>
            </w:r>
          </w:p>
        </w:tc>
        <w:tc>
          <w:tcPr>
            <w:tcW w:type="dxa" w:w="198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E2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b/>
                <w:bCs/>
                <w:color w:val="14142B"/>
                <w:sz w:val="19"/>
                <w:szCs w:val="19"/>
              </w:rPr>
              <w:t xml:space="preserve">Сейчас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Политика обработки персональных данных (публичная)</w:t>
            </w:r>
          </w:p>
        </w:tc>
        <w:tc>
          <w:tcPr>
            <w:tcW w:type="dxa" w:w="22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ч. 2 ст. 18.1 152-ФЗ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Юрист</w:t>
            </w:r>
          </w:p>
        </w:tc>
        <w:tc>
          <w:tcPr>
            <w:tcW w:type="dxa" w:w="198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Шаблон в продукте есть; переписать под схему в РФ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Согласие на обработку персональных данных</w:t>
            </w:r>
          </w:p>
        </w:tc>
        <w:tc>
          <w:tcPr>
            <w:tcW w:type="dxa" w:w="22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ст. 9 152-ФЗ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Юрист</w:t>
            </w:r>
          </w:p>
        </w:tc>
        <w:tc>
          <w:tcPr>
            <w:tcW w:type="dxa" w:w="198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Шаблон есть; обновить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Условия использования (с поручением обработки данных сотрудников клиента)</w:t>
            </w:r>
          </w:p>
        </w:tc>
        <w:tc>
          <w:tcPr>
            <w:tcW w:type="dxa" w:w="22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ч. 3 ст. 6 152-ФЗ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Юрист</w:t>
            </w:r>
          </w:p>
        </w:tc>
        <w:tc>
          <w:tcPr>
            <w:tcW w:type="dxa" w:w="198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Шаблон есть; обновить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Контакты и сведения о владельце сайта</w:t>
            </w:r>
          </w:p>
        </w:tc>
        <w:tc>
          <w:tcPr>
            <w:tcW w:type="dxa" w:w="22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ч. 2 ст. 10 149-ФЗ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Владелец</w:t>
            </w:r>
          </w:p>
        </w:tc>
        <w:tc>
          <w:tcPr>
            <w:tcW w:type="dxa" w:w="198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Страница есть; заполнить </w:t>
            </w:r>
            <w:r>
              <w:rPr>
                <w:rFonts w:ascii="Consolas" w:cs="Consolas" w:eastAsia="Consolas" w:hAnsi="Consolas"/>
                <w:color w:val="14142B"/>
                <w:sz w:val="17"/>
                <w:szCs w:val="17"/>
              </w:rPr>
              <w:t xml:space="preserve">OPERATOR_*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Уведомление Роскомнадзора об обработке персональных данных</w:t>
            </w:r>
          </w:p>
        </w:tc>
        <w:tc>
          <w:tcPr>
            <w:tcW w:type="dxa" w:w="22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ст. 22 152-ФЗ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Владелец</w:t>
            </w:r>
          </w:p>
        </w:tc>
        <w:tc>
          <w:tcPr>
            <w:tcW w:type="dxa" w:w="198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Не подано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Приказ о назначении ответственного за обработку персональных данных</w:t>
            </w:r>
          </w:p>
        </w:tc>
        <w:tc>
          <w:tcPr>
            <w:tcW w:type="dxa" w:w="22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ст. 22.1 152-ФЗ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Владелец</w:t>
            </w:r>
          </w:p>
        </w:tc>
        <w:tc>
          <w:tcPr>
            <w:tcW w:type="dxa" w:w="198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Положение об обработке и защите персональных данных (внутреннее)</w:t>
            </w:r>
          </w:p>
        </w:tc>
        <w:tc>
          <w:tcPr>
            <w:tcW w:type="dxa" w:w="22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ст. 18.1 152-ФЗ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Юрист</w:t>
            </w:r>
          </w:p>
        </w:tc>
        <w:tc>
          <w:tcPr>
            <w:tcW w:type="dxa" w:w="198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8</w:t>
            </w:r>
          </w:p>
        </w:tc>
        <w:tc>
          <w:tcPr>
            <w:tcW w:type="dxa" w:w="3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Перечень обрабатываемых данных, целей и сроков хранения</w:t>
            </w:r>
          </w:p>
        </w:tc>
        <w:tc>
          <w:tcPr>
            <w:tcW w:type="dxa" w:w="22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ст. 18.1 152-ФЗ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Юрист и IT</w:t>
            </w:r>
          </w:p>
        </w:tc>
        <w:tc>
          <w:tcPr>
            <w:tcW w:type="dxa" w:w="198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9</w:t>
            </w:r>
          </w:p>
        </w:tc>
        <w:tc>
          <w:tcPr>
            <w:tcW w:type="dxa" w:w="3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Договоры поручения обработки и реестр обработчиков: хостинг, S3, модель ИИ, почта, платежи</w:t>
            </w:r>
          </w:p>
        </w:tc>
        <w:tc>
          <w:tcPr>
            <w:tcW w:type="dxa" w:w="22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ч. 3 ст. 6 152-ФЗ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Владелец и юрист</w:t>
            </w:r>
          </w:p>
        </w:tc>
        <w:tc>
          <w:tcPr>
            <w:tcW w:type="dxa" w:w="198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10</w:t>
            </w:r>
          </w:p>
        </w:tc>
        <w:tc>
          <w:tcPr>
            <w:tcW w:type="dxa" w:w="3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Акт об уровне защищённости и перечень мер защиты</w:t>
            </w:r>
          </w:p>
        </w:tc>
        <w:tc>
          <w:tcPr>
            <w:tcW w:type="dxa" w:w="22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постановление № 1119, приказ ФСТЭК № 21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Специалист по защите информации</w:t>
            </w:r>
          </w:p>
        </w:tc>
        <w:tc>
          <w:tcPr>
            <w:tcW w:type="dxa" w:w="198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11</w:t>
            </w:r>
          </w:p>
        </w:tc>
        <w:tc>
          <w:tcPr>
            <w:tcW w:type="dxa" w:w="3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Порядок ответа на обращения людей и журнал обращений</w:t>
            </w:r>
          </w:p>
        </w:tc>
        <w:tc>
          <w:tcPr>
            <w:tcW w:type="dxa" w:w="22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ст. 14, 20, 21 152-ФЗ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Юрист</w:t>
            </w:r>
          </w:p>
        </w:tc>
        <w:tc>
          <w:tcPr>
            <w:tcW w:type="dxa" w:w="198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12</w:t>
            </w:r>
          </w:p>
        </w:tc>
        <w:tc>
          <w:tcPr>
            <w:tcW w:type="dxa" w:w="3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Порядок действий при утечке: уведомление за 24 часа, итоги за 72 часа</w:t>
            </w:r>
          </w:p>
        </w:tc>
        <w:tc>
          <w:tcPr>
            <w:tcW w:type="dxa" w:w="22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ч. 3.1 ст. 21 152-ФЗ; приказ РКН № 187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IT и юрист</w:t>
            </w:r>
          </w:p>
        </w:tc>
        <w:tc>
          <w:tcPr>
            <w:tcW w:type="dxa" w:w="198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13</w:t>
            </w:r>
          </w:p>
        </w:tc>
        <w:tc>
          <w:tcPr>
            <w:tcW w:type="dxa" w:w="3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Регламент резервного копирования и восстановления</w:t>
            </w:r>
          </w:p>
        </w:tc>
        <w:tc>
          <w:tcPr>
            <w:tcW w:type="dxa" w:w="22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ст. 19 152-ФЗ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IT</w:t>
            </w:r>
          </w:p>
        </w:tc>
        <w:tc>
          <w:tcPr>
            <w:tcW w:type="dxa" w:w="198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Описан в проекте (</w:t>
            </w:r>
            <w:r>
              <w:rPr>
                <w:rFonts w:ascii="Consolas" w:cs="Consolas" w:eastAsia="Consolas" w:hAnsi="Consolas"/>
                <w:color w:val="14142B"/>
                <w:sz w:val="17"/>
                <w:szCs w:val="17"/>
              </w:rPr>
              <w:t xml:space="preserve">docs/stage-11/operations.md</w:t>
            </w: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); цели утвердить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14</w:t>
            </w:r>
          </w:p>
        </w:tc>
        <w:tc>
          <w:tcPr>
            <w:tcW w:type="dxa" w:w="3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Соглашения о конфиденциальности с сотрудниками и подрядчиками, у которых есть доступ к данным</w:t>
            </w:r>
          </w:p>
        </w:tc>
        <w:tc>
          <w:tcPr>
            <w:tcW w:type="dxa" w:w="22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договоры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Владелец</w:t>
            </w:r>
          </w:p>
        </w:tc>
        <w:tc>
          <w:tcPr>
            <w:tcW w:type="dxa" w:w="198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По желанию, если такие люди есть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15</w:t>
            </w:r>
          </w:p>
        </w:tc>
        <w:tc>
          <w:tcPr>
            <w:tcW w:type="dxa" w:w="3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Договор с платёжным провайдером и настройка чеков</w:t>
            </w:r>
          </w:p>
        </w:tc>
        <w:tc>
          <w:tcPr>
            <w:tcW w:type="dxa" w:w="22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54-ФЗ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Владелец</w:t>
            </w:r>
          </w:p>
        </w:tc>
        <w:tc>
          <w:tcPr>
            <w:tcW w:type="dxa" w:w="198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 приёма оплаты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16</w:t>
            </w:r>
          </w:p>
        </w:tc>
        <w:tc>
          <w:tcPr>
            <w:tcW w:type="dxa" w:w="3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Аккредитация ИТ-компании и реестр российского ПО</w:t>
            </w:r>
          </w:p>
        </w:tc>
        <w:tc>
          <w:tcPr>
            <w:tcW w:type="dxa" w:w="22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Минцифры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Владелец</w:t>
            </w:r>
          </w:p>
        </w:tc>
        <w:tc>
          <w:tcPr>
            <w:tcW w:type="dxa" w:w="198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По желанию; запуск не зависит</w:t>
            </w:r>
          </w:p>
        </w:tc>
      </w:tr>
    </w:tbl>
    <w:p>
      <w:pPr>
        <w:spacing w:after="80" w:before="100" w:line="264"/>
      </w:pPr>
      <w:r>
        <w:rPr>
          <w:rFonts w:ascii="Calibri" w:cs="Calibri" w:eastAsia="Calibri" w:hAnsi="Calibri"/>
          <w:color w:val="14142B"/>
          <w:sz w:val="19"/>
          <w:szCs w:val="19"/>
        </w:rPr>
        <w:t xml:space="preserve">Согласие на передачу за рубеж и уведомление Роскомнадзора о трансграничной передаче не нужны, пока за границу ничего не уходит (юрист подтверждает). Страницу </w:t>
      </w:r>
      <w:r>
        <w:rPr>
          <w:rFonts w:ascii="Consolas" w:cs="Consolas" w:eastAsia="Consolas" w:hAnsi="Consolas"/>
          <w:color w:val="14142B"/>
          <w:sz w:val="17"/>
          <w:szCs w:val="17"/>
        </w:rPr>
        <w:t xml:space="preserve">/consent-transfer</w:t>
      </w:r>
      <w:r>
        <w:rPr>
          <w:rFonts w:ascii="Calibri" w:cs="Calibri" w:eastAsia="Calibri" w:hAnsi="Calibri"/>
          <w:color w:val="14142B"/>
          <w:sz w:val="19"/>
          <w:szCs w:val="19"/>
        </w:rPr>
        <w:t xml:space="preserve"> убрать после этого подтверждения.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B70"/>
        <w:sz w:val="17"/>
        <w:szCs w:val="17"/>
      </w:rPr>
      <w:t xml:space="preserve">«Тендерный юрист» — обработка данных · стр. </w:t>
    </w:r>
    <w:r>
      <w:rPr>
        <w:rFonts w:ascii="Calibri" w:cs="Calibri" w:eastAsia="Calibri" w:hAnsi="Calibri"/>
        <w:color w:val="5B5B7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Обработка данных: коротко и перечень документов</dc:title>
  <dc:creator>Тендерный юрист</dc:creator>
  <cp:lastModifiedBy>Un-named</cp:lastModifiedBy>
  <cp:revision>1</cp:revision>
  <dcterms:created xsi:type="dcterms:W3CDTF">2026-10-20T17:34:16.773Z</dcterms:created>
  <dcterms:modified xsi:type="dcterms:W3CDTF">2026-10-20T17:34:16.774Z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