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color w:val="77778F"/>
          <w:sz w:val="24"/>
          <w:szCs w:val="24"/>
        </w:rPr>
        <w:t xml:space="preserve">«Тендерный юрист»</w:t>
      </w:r>
    </w:p>
    <w:p>
      <w:pPr>
        <w:pStyle w:val="Heading1"/>
      </w:pPr>
      <w:r>
        <w:t xml:space="preserve">Памятка для юриста</w:t>
      </w:r>
    </w:p>
    <w:p>
      <w:pPr>
        <w:spacing w:after="100"/>
      </w:pPr>
      <w:r>
        <w:rPr>
          <w:sz w:val="24"/>
          <w:szCs w:val="24"/>
        </w:rPr>
        <w:t xml:space="preserve">Обработка персональных данных и условия сервиса: как всё устроено и что нужно проверить до открытия для людей.</w:t>
      </w:r>
    </w:p>
    <w:p>
      <w:pPr>
        <w:spacing w:after="100"/>
      </w:pPr>
      <w:r>
        <w:rPr>
          <w:color w:val="77778F"/>
          <w:sz w:val="20"/>
          <w:szCs w:val="20"/>
        </w:rPr>
        <w:t xml:space="preserve">Дата: 1 октября 2026 года. Факты взяты из исходного кода и страниц сервиса на эту дату; юридических выводов в документе нет — только вопросы.</w:t>
      </w:r>
    </w:p>
    <w:p>
      <w:pPr>
        <w:spacing w:after="6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6F6FB" w:color="auto" w:val="clear"/>
            <w:tcMar>
              <w:top w:type="dxa" w:w="140"/>
              <w:left w:type="dxa" w:w="200"/>
              <w:bottom w:type="dxa" w:w="100"/>
              <w:right w:type="dxa" w:w="200"/>
            </w:tcMar>
          </w:tcPr>
          <w:p>
            <w:pPr>
              <w:spacing w:after="90"/>
            </w:pPr>
            <w:r>
              <w:rPr>
                <w:b/>
                <w:bCs/>
              </w:rPr>
              <w:t xml:space="preserve">Что за сервис.</w:t>
            </w:r>
            <w:r>
              <w:t xml:space="preserve"> Помогает поставщику готовиться к закупкам по 44-ФЗ и 223-ФЗ: читает документы закупки, выписывает требования, готовит черновики документов заявки (техническое предложение, анкета, декларация, цена), проверяет заявку, отвечает на вопросы. Заявку на площадке подаёт сам пользователь.</w:t>
            </w:r>
          </w:p>
          <w:p>
            <w:pPr>
              <w:spacing w:after="90"/>
            </w:pPr>
            <w:r>
              <w:rPr>
                <w:b/>
                <w:bCs/>
              </w:rPr>
              <w:t xml:space="preserve">Где сейчас.</w:t>
            </w:r>
            <w:r>
              <w:t xml:space="preserve"> Закрытый тестовый режим: вход по общему паролю, бесплатно, публичного доступа нет. Оплаты и платных тарифов пока нет.</w:t>
            </w:r>
          </w:p>
          <w:p>
            <w:pPr>
              <w:spacing w:after="90"/>
            </w:pPr>
            <w:r>
              <w:rPr>
                <w:b/>
                <w:bCs/>
              </w:rPr>
              <w:t xml:space="preserve">Что просим.</w:t>
            </w:r>
            <w:r>
              <w:t xml:space="preserve"> До открытия для людей, которых владелец не знает лично, проверить тексты на страницах сервиса (политика, два согласия, условия, контакты) и ответить на вопросы из раздела 5. Тексты — шаблоны, на каждой странице стоит пометка «ТРЕБУЕТ ПРОВЕРКИ ЮРИСТОМ».</w:t>
            </w:r>
          </w:p>
          <w:p>
            <w:pPr>
              <w:spacing w:after="90"/>
            </w:pPr>
            <w:r>
              <w:rPr>
                <w:b/>
                <w:bCs/>
              </w:rPr>
              <w:t xml:space="preserve">Три главные темы.</w:t>
            </w:r>
            <w:r>
              <w:t xml:space="preserve"> (1) Роль владельца и поручение по данным третьих лиц. (2) Передача данных ИИ-провайдеру в США и уведомления Роскомнадзора. (3) Где может стоять сервер, если ИИ-провайдер недоступен с российских адресов.</w:t>
            </w:r>
          </w:p>
        </w:tc>
      </w:tr>
    </w:tbl>
    <w:p>
      <w:pPr>
        <w:pStyle w:val="Heading1"/>
      </w:pPr>
      <w:r>
        <w:t xml:space="preserve">1. Какие персональные данные встречаются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Реквизиты пользователя</w:t>
      </w:r>
      <w:r>
        <w:t xml:space="preserve">, которые он вписывает: для ИП — ФИО, ИНН, ОГРНИП, адрес регистрации, расчётный счёт; для организации — ФИО руководителя и контактного лица, телефон, почта.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Данные других людей</w:t>
      </w:r>
      <w:r>
        <w:t xml:space="preserve">, которые пользователь вносит для своей заявки: исполнители и сотрудники (ФИО, роль, звание или квалификация, документы о квалификации).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Документы закупки</w:t>
      </w:r>
      <w:r>
        <w:t xml:space="preserve">: в них — контакты представителей заказчика (ФИО, телефон, почта); как правило, это публичные документы из ЕИС.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Заявки и документы участника</w:t>
      </w:r>
      <w:r>
        <w:t xml:space="preserve">, которые пользователь загружает для проверки: ФИО подписанта, реквизиты, адреса.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Вопросы</w:t>
      </w:r>
      <w:r>
        <w:t xml:space="preserve">, которые пользователь задаёт ассистенту, и история разговора (хранится в браузере).</w:t>
      </w:r>
    </w:p>
    <w:p>
      <w:pPr>
        <w:pStyle w:val="Heading1"/>
      </w:pPr>
      <w:r>
        <w:t xml:space="preserve">2. Как данные движутся</w:t>
      </w:r>
    </w:p>
    <w:tbl>
      <w:tblPr>
        <w:tblW w:type="dxa" w:w="9638"/>
        <w:tblBorders>
          <w:top w:val="single" w:color="DEDDEB" w:sz="4"/>
          <w:left w:val="single" w:color="DEDDEB" w:sz="4"/>
          <w:bottom w:val="single" w:color="DEDDEB" w:sz="4"/>
          <w:right w:val="single" w:color="DEDDEB" w:sz="4"/>
          <w:insideH w:val="single" w:color="DEDDEB" w:sz="4"/>
          <w:insideV w:val="single" w:color="DEDDEB" w:sz="4"/>
        </w:tblBorders>
      </w:tblPr>
      <w:tblGrid>
        <w:gridCol w:w="2250"/>
        <w:gridCol w:w="2750"/>
        <w:gridCol w:w="2350"/>
        <w:gridCol w:w="2288"/>
      </w:tblGrid>
      <w:tr>
        <w:trPr>
          <w:tblHeader/>
        </w:trPr>
        <w:tc>
          <w:tcPr>
            <w:tcW w:type="dxa" w:w="2250"/>
            <w:shd w:fill="E2E1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26246A"/>
                <w:sz w:val="19"/>
                <w:szCs w:val="19"/>
              </w:rPr>
              <w:t xml:space="preserve">Что происходит</w:t>
            </w:r>
          </w:p>
        </w:tc>
        <w:tc>
          <w:tcPr>
            <w:tcW w:type="dxa" w:w="2750"/>
            <w:shd w:fill="E2E1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26246A"/>
                <w:sz w:val="19"/>
                <w:szCs w:val="19"/>
              </w:rPr>
              <w:t xml:space="preserve">Какие данные</w:t>
            </w:r>
          </w:p>
        </w:tc>
        <w:tc>
          <w:tcPr>
            <w:tcW w:type="dxa" w:w="2350"/>
            <w:shd w:fill="E2E1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26246A"/>
                <w:sz w:val="19"/>
                <w:szCs w:val="19"/>
              </w:rPr>
              <w:t xml:space="preserve">Куда идут</w:t>
            </w:r>
          </w:p>
        </w:tc>
        <w:tc>
          <w:tcPr>
            <w:tcW w:type="dxa" w:w="2288"/>
            <w:shd w:fill="E2E1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26246A"/>
                <w:sz w:val="19"/>
                <w:szCs w:val="19"/>
              </w:rPr>
              <w:t xml:space="preserve">Где и сколько хранятся</w:t>
            </w:r>
          </w:p>
        </w:tc>
      </w:tr>
      <w:tr>
        <w:trPr>
          <w:cantSplit/>
        </w:trPr>
        <w:tc>
          <w:tcPr>
            <w:tcW w:type="dxa" w:w="2250"/>
            <w:shd w:fill="F6F6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Пользователь загружает документы закупки и свои документы</w:t>
            </w:r>
          </w:p>
        </w:tc>
        <w:tc>
          <w:tcPr>
            <w:tcW w:type="dxa" w:w="2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Тексты документов. В них бывают ФИО, телефоны, почта, реквизиты ИП</w:t>
            </w:r>
          </w:p>
        </w:tc>
        <w:tc>
          <w:tcPr>
            <w:tcW w:type="dxa" w:w="23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Из браузера на наш сервер, в оперативную память на время запроса</w:t>
            </w:r>
          </w:p>
        </w:tc>
        <w:tc>
          <w:tcPr>
            <w:tcW w:type="dxa" w:w="22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На сервере не сохраняются, на диск не пишутся. В браузере — пока пользователь не удалит</w:t>
            </w:r>
          </w:p>
        </w:tc>
      </w:tr>
      <w:tr>
        <w:trPr>
          <w:cantSplit/>
        </w:trPr>
        <w:tc>
          <w:tcPr>
            <w:tcW w:type="dxa" w:w="2250"/>
            <w:shd w:fill="F6F6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Сервер читает сканы и фото</w:t>
            </w:r>
          </w:p>
        </w:tc>
        <w:tc>
          <w:tcPr>
            <w:tcW w:type="dxa" w:w="2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Изображение страницы, без замены персональных данных</w:t>
            </w:r>
          </w:p>
        </w:tc>
        <w:tc>
          <w:tcPr>
            <w:tcW w:type="dxa" w:w="23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Наш сервер → ИИ-провайдер Anthropic (США)</w:t>
            </w:r>
          </w:p>
        </w:tc>
        <w:tc>
          <w:tcPr>
            <w:tcW w:type="dxa" w:w="22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У Anthropic — по его условиям; технический кеш запросов — до 1 часа</w:t>
            </w:r>
          </w:p>
        </w:tc>
      </w:tr>
      <w:tr>
        <w:trPr>
          <w:cantSplit/>
        </w:trPr>
        <w:tc>
          <w:tcPr>
            <w:tcW w:type="dxa" w:w="2250"/>
            <w:shd w:fill="F6F6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ИИ выписывает требования, готовит черновики, проверяет заявку, отвечает на вопросы</w:t>
            </w:r>
          </w:p>
        </w:tc>
        <w:tc>
          <w:tcPr>
            <w:tcW w:type="dxa" w:w="2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Текст документов и вопросов, реквизиты участника — после замены найденных персональных данных метками</w:t>
            </w:r>
          </w:p>
        </w:tc>
        <w:tc>
          <w:tcPr>
            <w:tcW w:type="dxa" w:w="23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Наш сервер → Anthropic (США)</w:t>
            </w:r>
          </w:p>
        </w:tc>
        <w:tc>
          <w:tcPr>
            <w:tcW w:type="dxa" w:w="22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Ответ возвращается в браузер; на сервере не сохраняется</w:t>
            </w:r>
          </w:p>
        </w:tc>
      </w:tr>
      <w:tr>
        <w:trPr>
          <w:cantSplit/>
        </w:trPr>
        <w:tc>
          <w:tcPr>
            <w:tcW w:type="dxa" w:w="2250"/>
            <w:shd w:fill="F6F6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Сборка файлов Word, PDF, ODT</w:t>
            </w:r>
          </w:p>
        </w:tc>
        <w:tc>
          <w:tcPr>
            <w:tcW w:type="dxa" w:w="2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Текст документа, реквизиты, состав исполнителей (ФИО, звание)</w:t>
            </w:r>
          </w:p>
        </w:tc>
        <w:tc>
          <w:tcPr>
            <w:tcW w:type="dxa" w:w="23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Браузер → наш сервер → готовый файл в браузер. Состав исполнителей ИИ не получает</w:t>
            </w:r>
          </w:p>
        </w:tc>
        <w:tc>
          <w:tcPr>
            <w:tcW w:type="dxa" w:w="22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На сервере — только на время сборки</w:t>
            </w:r>
          </w:p>
        </w:tc>
      </w:tr>
      <w:tr>
        <w:trPr>
          <w:cantSplit/>
        </w:trPr>
        <w:tc>
          <w:tcPr>
            <w:tcW w:type="dxa" w:w="2250"/>
            <w:shd w:fill="F6F6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Журнал сервера</w:t>
            </w:r>
          </w:p>
        </w:tc>
        <w:tc>
          <w:tcPr>
            <w:tcW w:type="dxa" w:w="2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Строка на каждый ответ ИИ: операция, модель, число токенов, цена, случайный номер заявки. Документов и ответов в журнале нет</w:t>
            </w:r>
          </w:p>
        </w:tc>
        <w:tc>
          <w:tcPr>
            <w:tcW w:type="dxa" w:w="23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Журнал хостинга</w:t>
            </w:r>
          </w:p>
        </w:tc>
        <w:tc>
          <w:tcPr>
            <w:tcW w:type="dxa" w:w="22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По правилам хостинга</w:t>
            </w:r>
          </w:p>
        </w:tc>
      </w:tr>
      <w:tr>
        <w:trPr>
          <w:cantSplit/>
        </w:trPr>
        <w:tc>
          <w:tcPr>
            <w:tcW w:type="dxa" w:w="2250"/>
            <w:shd w:fill="F6F6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Технические данные</w:t>
            </w:r>
          </w:p>
        </w:tc>
        <w:tc>
          <w:tcPr>
            <w:tcW w:type="dxa" w:w="2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IP-адрес и сведения о браузере (журналы хостинга); IP-адрес в памяти сервера для лимитов запросов и попыток входа; cookie с отметкой входа</w:t>
            </w:r>
          </w:p>
        </w:tc>
        <w:tc>
          <w:tcPr>
            <w:tcW w:type="dxa" w:w="23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Хостинг; память сервера</w:t>
            </w:r>
          </w:p>
        </w:tc>
        <w:tc>
          <w:tcPr>
            <w:tcW w:type="dxa" w:w="22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IP в памяти — до 25 часов после последнего запроса, стирается при перезапуске; cookie — 180 дней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bCs/>
        </w:rPr>
        <w:t xml:space="preserve">Чего в сервисе нет: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На сервере нет базы данных, файлы на диск не записываются.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В коде нет счётчиков, рекламных и аналитических скриптов; политика содержимого запрещает загружать что-либо с чужих сайтов (шрифты и всё остальное — со своего адреса).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Данные не передаются третьим лицам, кроме ИИ-провайдера; хостинг — только как инфраструктура.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Для рекламы и рассылок данные не используются. Биометрию и специальные категории сервис не запрашивает и просит не загружать.</w:t>
      </w:r>
    </w:p>
    <w:p>
      <w:pPr>
        <w:pStyle w:val="Heading1"/>
      </w:pPr>
      <w:r>
        <w:t xml:space="preserve">3. Что уже сделано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Тексты на страницах сервиса</w:t>
      </w:r>
      <w:r>
        <w:t xml:space="preserve">, открытых без пароля: политика обработки персональных данных (ст. 18.1 152-ФЗ), согласие на обработку, отдельное согласие на трансграничную передачу, условия использования, контакты. Редакция от 27 сентября 2026 г. Реквизиты владельца подставляются из настроек хостинга; пока не заданы, поля жёлтые и страницы помечены «Черновик».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Два согласия</w:t>
      </w:r>
      <w:r>
        <w:t xml:space="preserve"> — отдельными галочками, не отмечены заранее; без них сервис не читает документы. Согласие записывается в браузере вместе с датой редакции текстов; при новой редакции спрашивают заново. Сервер согласие не хранит.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Замена персональных данных метками перед отправкой ИИ</w:t>
      </w:r>
      <w:r>
        <w:t xml:space="preserve">: ФИО с отчеством или инициалами, телефоны, почта, паспорт и код подразделения, СНИЛС, ИНН и ОГРНИП физических лиц, счета физлиц и ИП, даты рождения, адрес после слов «адрес регистрации» или «место жительства». В ответе метки меняются обратно, уже у пользователя на экране. На хостинге замена включена всегда.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Что замена не покрывает</w:t>
      </w:r>
      <w:r>
        <w:t xml:space="preserve">: имя без отчества и инициалов, адрес без пометки, сканы и фото (уходят изображением, распознавание можно выключить). Об этом сказано в политике.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Доступ</w:t>
      </w:r>
      <w:r>
        <w:t xml:space="preserve">: закрытая ссылка с паролем, число попыток входа ограничено, запросы к ИИ ограничены по числу и по расходам.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Удаление</w:t>
      </w:r>
      <w:r>
        <w:t xml:space="preserve">: закупки и документы удаляются по одному или все сразу кнопкой «Удалить все мои данные»; копию данных пользователь сохраняет файлом на своё устройство.</w:t>
      </w:r>
    </w:p>
    <w:p>
      <w:pPr>
        <w:pStyle w:val="Heading1"/>
      </w:pPr>
      <w:r>
        <w:t xml:space="preserve">4. Где смотреть тексты</w:t>
      </w:r>
    </w:p>
    <w:p>
      <w:pPr>
        <w:spacing w:after="100"/>
      </w:pPr>
      <w:r>
        <w:t xml:space="preserve">Страницы открыты без пароля: /privacy (политика), /consent (согласие на обработку), /consent-transfer (согласие на передачу за рубеж), /terms (условия), /contacts (контакты). На страницах политики и условий два места поставлены под вопрос прямо — они совпадают с вопросами 1 и 2 ниже.</w:t>
      </w:r>
    </w:p>
    <w:p>
      <w:pPr>
        <w:pStyle w:val="Heading1"/>
      </w:pPr>
      <w:r>
        <w:t xml:space="preserve">5. Вопросы к юристу</w:t>
      </w:r>
    </w:p>
    <w:p>
      <w:pPr>
        <w:pStyle w:val="Heading2"/>
      </w:pPr>
      <w:r>
        <w:t xml:space="preserve">Роль и поручение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Правильно ли, что владелец сервиса — оператор данных самого пользователя (реквизиты ИП, ФИО руководителя, контакты), а по данным третьих лиц (исполнители, сотрудники, контактные лица заказчика) действует по поручению пользователя (ч. 3 ст. 6 152-ФЗ)?</w:t>
      </w:r>
      <w:r>
        <w:rPr>
          <w:color w:val="77778F"/>
        </w:rPr>
        <w:t xml:space="preserve"> Так написано в разделе 4 политики; место помечено для проверки.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Достаточно ли «Условий использования» (раздел 5) как поручения: перечень действий, цели, конфиденциальность, меры по ст. 19? Нужна ли иная форма, если пользователь принимает условия нажатием кнопки?</w:t>
      </w:r>
      <w:r>
        <w:rPr>
          <w:color w:val="77778F"/>
        </w:rPr>
        <w:t xml:space="preserve"> Пользователь — ИП или организация; согласия третьих лиц сервис не собирает, это обязанность пользователя.</w:t>
      </w:r>
    </w:p>
    <w:p>
      <w:pPr>
        <w:pStyle w:val="Heading2"/>
      </w:pPr>
      <w:r>
        <w:t xml:space="preserve">Уведомления и передача за рубеж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Нужно ли уведомление Роскомнадзора об обработке персональных данных (ст. 22) до запуска, от кого именно (ИП, самозанятый, организация), применимы ли исключения из ч. 2 ст. 22?</w:t>
      </w:r>
      <w:r>
        <w:rPr>
          <w:color w:val="77778F"/>
        </w:rPr>
        <w:t xml:space="preserve"> Данные обрабатываются в связи с договором с пользователем, но сервер получает и данные третьих лиц.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Какие уведомления и в какой момент нужны для передачи данных ИИ-провайдеру в США (ст. 12): уведомление до начала передачи, сведения об иностранном лице, ожидание решения Роскомнадзора? Достаточно ли отдельного согласия пользователя?</w:t>
      </w:r>
      <w:r>
        <w:rPr>
          <w:color w:val="77778F"/>
        </w:rPr>
        <w:t xml:space="preserve"> Передача начинается при первом же запросе к ИИ.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Считается ли замена найденных данных метками обезличиванием (тогда передача уже не передача персональных данных) или это по-прежнему трансграничная передача?</w:t>
      </w:r>
      <w:r>
        <w:rPr>
          <w:color w:val="77778F"/>
        </w:rPr>
        <w:t xml:space="preserve"> Находится не всё: имя без отчества, адрес без пометки, сканы и фото уходят как есть. Как об этом сказать пользователю точнее?</w:t>
      </w:r>
    </w:p>
    <w:p>
      <w:pPr>
        <w:pStyle w:val="Heading2"/>
      </w:pPr>
      <w:r>
        <w:t xml:space="preserve">Где может стоять сервер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Нарушает ли требование о первичной записи и хранении персональных данных в России (ч. 5 ст. 18) схема, при которой сервер стоит за границей, ничего не сохраняет, а постоянное хранение — в браузере пользователя в России? Нужна ли российская часть (сервер в России, за границу уходит только запрос к ИИ)?</w:t>
      </w:r>
      <w:r>
        <w:rPr>
          <w:color w:val="77778F"/>
        </w:rPr>
        <w:t xml:space="preserve"> По нашим сведениям (проверить на дату), ИИ-провайдер не принимает запросы с российских адресов, поэтому сервер приходится держать за границей.</w:t>
      </w:r>
    </w:p>
    <w:p>
      <w:pPr>
        <w:pStyle w:val="Heading2"/>
      </w:pPr>
      <w:r>
        <w:t xml:space="preserve">Согласия и условия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Достаточны ли два отдельных согласия по форме и содержанию (ст. 9 в редакции с 1 сентября 2025 г.: цели, перечень данных, срок, порядок отзыва)? Согласие хранится только в браузере — как это сочетается с обязанностью доказать, что оно получено? Нужен ли журнал согласий на сервере, если это противоречит принципу «ничего не храним»?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Условия использования: ответственность («как есть»), отказ от ответственности за ошибки ИИ, права на результаты (раздел 3: пользователь вправе использовать без ограничений), принятие условий нажатием кнопки, изменение условий. Применимы ли нормы о защите прав потребителей, если пользователь — физическое лицо или ИП?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Закон об ИИ: в исходном тексте условий разделы 2–4 написаны под «закон об ИИ (243-ФЗ)» — что пользователь имеет дело с ИИ, кому принадлежат права на результаты, где они хранятся. Подтвердите номер закона, его применимость и другие требования, которые он предъявляет к сервису.</w:t>
      </w:r>
      <w:r>
        <w:rPr>
          <w:color w:val="77778F"/>
        </w:rPr>
        <w:t xml:space="preserve"> Номер закона нужно проверить, мы в нём не уверены.</w:t>
      </w:r>
    </w:p>
    <w:p>
      <w:pPr>
        <w:pStyle w:val="Heading2"/>
      </w:pPr>
      <w:r>
        <w:t xml:space="preserve">Услуги и деньги (на будущее)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Можно ли называть сервис «Тендерный юрист», если ответы ИИ — «не юридическая консультация»? Планируется платная услуга «Проверка специалистом» (живой юрист сверяет комплект документов, 500 ₽; пока «скоро»): это оказание юридических услуг — кто исполнитель, нужен ли договор, как с ответственностью и страхованием?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Приём оплаты: форма (ИП, самозанятый, организация), онлайн-касса и чеки (54-ФЗ), оферта и возвраты, пакеты по 5 и 10 заявок.</w:t>
      </w:r>
      <w:r>
        <w:rPr>
          <w:color w:val="77778F"/>
        </w:rPr>
        <w:t xml:space="preserve"> Оплаты пока нет; ответ нужен до подключения платежей.</w:t>
      </w:r>
    </w:p>
    <w:p>
      <w:pPr>
        <w:pStyle w:val="Heading2"/>
      </w:pPr>
      <w:r>
        <w:t xml:space="preserve">Права пользователей и журналы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Как описать порядок обращений (почта оператора, сроки ответов, ст. 14, 20 и 21 152-ФЗ), что говорить про данные у ИИ-провайдера и в журналах хостинга, нужно ли называть хостинг получателем?</w:t>
      </w:r>
      <w:r>
        <w:rPr>
          <w:color w:val="77778F"/>
        </w:rPr>
        <w:t xml:space="preserve"> Хостинг пока не выбран.</w:t>
      </w:r>
    </w:p>
    <w:p>
      <w:pPr>
        <w:pStyle w:val="Heading1"/>
      </w:pPr>
      <w:r>
        <w:t xml:space="preserve">6. Что оформить до запуска для людей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Определить владельца: ИП, самозанятый или организация — и задать реквизиты оператора в настройках хостинга (наименование, ИНН, ОГРН или ОГРНИП, адрес, почта). Тогда на страницах исчезнут жёлтые поля и пометка «Черновик».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Юрист проверяет тексты на страницах. После проверки в коде снимается пометка «ТРЕБУЕТ ПРОВЕРКИ ЮРИСТОМ» и обновляется дата редакции (согласие у пользователей спросят заново).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Подать уведомления в Роскомнадзор — какие и когда, по ответам юриста (вопросы 3 и 4).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Выбрать хостинг с учётом вопроса 6; пароль входа и ключ ИИ задаются только в настройках хостинга.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Проверить актуальные условия Anthropic для коммерческих клиентов (срок хранения запросов, использование данных, соглашение об обработке данных) и принять их от имени владельца.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Назначить ответственного за обработку персональных данных и порядок ответа на обращения.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Оферта и порядок оплаты — вместе с подключением платежей.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Закрыть репозиторий с исходным кодом и убрать из него учебные документы (раздел 7).</w:t>
      </w:r>
    </w:p>
    <w:p>
      <w:pPr>
        <w:pStyle w:val="Heading1"/>
      </w:pPr>
      <w:r>
        <w:t xml:space="preserve">7. Учебные документы в открытом репозитории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BEEDA" w:color="auto" w:val="clear"/>
            <w:tcMar>
              <w:top w:type="dxa" w:w="140"/>
              <w:left w:type="dxa" w:w="200"/>
              <w:bottom w:type="dxa" w:w="100"/>
              <w:right w:type="dxa" w:w="200"/>
            </w:tcMar>
          </w:tcPr>
          <w:p>
            <w:pPr>
              <w:spacing w:after="90"/>
            </w:pPr>
            <w:r>
              <w:rPr>
                <w:b/>
                <w:bCs/>
              </w:rPr>
              <w:t xml:space="preserve">Что произошло.</w:t>
            </w:r>
            <w:r>
              <w:t xml:space="preserve"> 30 сентября 2026 г. в репозиторий проекта на GitHub через сайт загрузили 28 файлов — учебные документы Татьяны: документы закупок по 223-ФЗ и 44-ФЗ, протокол заседания комиссии, примеры заявок и предложений участников. Репозиторий открытый: файлы видны любому человеку, в том числе в истории изменений.</w:t>
            </w:r>
          </w:p>
          <w:p>
            <w:pPr>
              <w:spacing w:after="90"/>
            </w:pPr>
            <w:r>
              <w:rPr>
                <w:b/>
                <w:bCs/>
              </w:rPr>
              <w:t xml:space="preserve">Что в файлах.</w:t>
            </w:r>
            <w:r>
              <w:t xml:space="preserve"> Автоматический поиск нашёл (только числа, значения не выводились; поиск неполный): ФИО — 15 разных, телефонов — 5, адресов почты — 5, расчётный счёт — 1, адрес — 1 (в заявке участника). Паспортов, СНИЛС, ИНН физических лиц и дат рождения не найдено. Один файл (протокол комиссии в PDF) — скан, его текст не читался. Документация закупок публична в ЕИС; заявки и предложения участников — нет.</w:t>
            </w:r>
          </w:p>
          <w:p>
            <w:pPr>
              <w:spacing w:after="90"/>
            </w:pPr>
            <w:r>
              <w:rPr>
                <w:b/>
                <w:bCs/>
              </w:rPr>
              <w:t xml:space="preserve">Что проверено дополнительно.</w:t>
            </w:r>
            <w:r>
              <w:t xml:space="preserve"> Ключей доступа и паролей в репозитории и в его истории нет.</w:t>
            </w:r>
          </w:p>
          <w:p>
            <w:pPr>
              <w:spacing w:after="90"/>
            </w:pPr>
            <w:r>
              <w:rPr>
                <w:b/>
                <w:bCs/>
              </w:rPr>
              <w:t xml:space="preserve">Что предлагается.</w:t>
            </w:r>
            <w:r>
              <w:t xml:space="preserve"> Закрыть репозиторий; убрать файлы из проекта и из истории изменений (отдельное решение: история переписывается); решить с юристом, нужны ли уведомления и согласие владельцев документов.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bCs/>
        </w:rPr>
        <w:t xml:space="preserve">Вопрос юристу: является ли это неправомерной передачей персональных данных, при которой оператор обязан уведомить Роскомнадзор в течение 24 часов (ч. 3.1 ст. 21 152-ФЗ), и кто в этой ситуации оператор? Нужно ли согласие или разрешение владельцев документов (в частности, индивидуального предпринимателя, чьё предложение лежит в папке)?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8F"/>
        <w:sz w:val="17"/>
        <w:szCs w:val="17"/>
      </w:rPr>
      <w:t xml:space="preserve">Тендерный юрист — памятка для юриста · стр. </w:t>
      <w:fldChar w:fldCharType="begin"/>
      <w:instrText xml:space="preserve">PAGE</w:instrText>
      <w:fldChar w:fldCharType="separate"/>
      <w:fldChar w:fldCharType="end"/>
      <w:t xml:space="preserve"> из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460"/>
      </w:pPr>
      <w:rPr>
        <w:b/>
        <w:bCs/>
        <w:color w:val="312E81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460"/>
      </w:pPr>
      <w:rPr>
        <w:b/>
        <w:bCs/>
        <w:color w:val="312E81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4142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280"/>
      <w:outlineLvl w:val="0"/>
    </w:pPr>
    <w:rPr>
      <w:rFonts w:ascii="Calibri" w:cs="Calibri" w:eastAsia="Calibri" w:hAnsi="Calibri"/>
      <w:b/>
      <w:bCs/>
      <w:color w:val="26246A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80" w:before="200"/>
      <w:outlineLvl w:val="1"/>
    </w:pPr>
    <w:rPr>
      <w:rFonts w:ascii="Calibri" w:cs="Calibri" w:eastAsia="Calibri" w:hAnsi="Calibri"/>
      <w:b/>
      <w:bCs/>
      <w:color w:val="312E81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Памятка для юриста</dc:title>
  <dc:creator>Тендерный юрист</dc:creator>
  <cp:lastModifiedBy>Un-named</cp:lastModifiedBy>
  <cp:revision>1</cp:revision>
  <dcterms:created xsi:type="dcterms:W3CDTF">2026-10-01T10:40:36.924Z</dcterms:created>
  <dcterms:modified xsi:type="dcterms:W3CDTF">2026-10-01T10:40:36.925Z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