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F3864"/>
          <w:sz w:val="36"/>
          <w:szCs w:val="36"/>
        </w:rPr>
        <w:t xml:space="preserve">Digital Twin Enabled Sustainability Intelligence Framework for Smart Cities</w:t>
      </w:r>
    </w:p>
    <w:p>
      <w:pPr>
        <w:spacing w:after="280"/>
        <w:jc w:val="center"/>
      </w:pPr>
      <w:r>
        <w:rPr>
          <w:rFonts w:ascii="Calibri" w:cs="Calibri" w:eastAsia="Calibri" w:hAnsi="Calibri"/>
          <w:b/>
          <w:bCs/>
          <w:i/>
          <w:iCs/>
          <w:color w:val="2E74B5"/>
          <w:sz w:val="28"/>
          <w:szCs w:val="28"/>
        </w:rPr>
        <w:t xml:space="preserve">A Case Study of Delhi</w:t>
      </w:r>
    </w:p>
    <w:p>
      <w:pPr>
        <w:spacing w:after="60"/>
        <w:jc w:val="center"/>
      </w:pPr>
      <w:r>
        <w:rPr>
          <w:rFonts w:ascii="Calibri" w:cs="Calibri" w:eastAsia="Calibri" w:hAnsi="Calibri"/>
          <w:b/>
          <w:bCs/>
          <w:sz w:val="24"/>
          <w:szCs w:val="24"/>
        </w:rPr>
        <w:t xml:space="preserve">Asad Ahmad</w:t>
      </w:r>
    </w:p>
    <w:p>
      <w:pPr>
        <w:spacing w:after="60"/>
        <w:jc w:val="center"/>
      </w:pPr>
      <w:r>
        <w:rPr>
          <w:rFonts w:ascii="Calibri" w:cs="Calibri" w:eastAsia="Calibri" w:hAnsi="Calibri"/>
          <w:sz w:val="22"/>
          <w:szCs w:val="22"/>
        </w:rPr>
        <w:t xml:space="preserve">B.Tech, Computer Science and Engineering</w:t>
      </w:r>
    </w:p>
    <w:p>
      <w:pPr>
        <w:spacing w:after="60"/>
        <w:jc w:val="center"/>
      </w:pPr>
      <w:r>
        <w:rPr>
          <w:rFonts w:ascii="Calibri" w:cs="Calibri" w:eastAsia="Calibri" w:hAnsi="Calibri"/>
          <w:i/>
          <w:iCs/>
          <w:sz w:val="22"/>
          <w:szCs w:val="22"/>
        </w:rPr>
        <w:t xml:space="preserve">Urban AI and Sustainability Systems — InfraVision Project</w:t>
      </w:r>
    </w:p>
    <w:p>
      <w:pPr>
        <w:spacing w:after="320"/>
        <w:jc w:val="center"/>
      </w:pPr>
      <w:r>
        <w:rPr>
          <w:rFonts w:ascii="Calibri" w:cs="Calibri" w:eastAsia="Calibri" w:hAnsi="Calibri"/>
          <w:color w:val="595959"/>
          <w:sz w:val="22"/>
          <w:szCs w:val="22"/>
        </w:rPr>
        <w:t xml:space="preserve">April 2026</w:t>
      </w:r>
    </w:p>
    <w:p>
      <w:pPr>
        <w:pBdr>
          <w:bottom w:val="single" w:color="1F3864" w:sz="8" w:space="1"/>
        </w:pBdr>
        <w:spacing w:after="160" w:before="120"/>
      </w:pPr>
      <w:r>
        <w:t xml:space="preserve"/>
      </w:r>
    </w:p>
    <w:p>
      <w:pPr>
        <w:pStyle w:val="Heading1"/>
        <w:spacing w:after="180" w:before="360"/>
      </w:pPr>
      <w:r>
        <w:rPr>
          <w:rFonts w:ascii="Calibri" w:cs="Calibri" w:eastAsia="Calibri" w:hAnsi="Calibri"/>
          <w:b/>
          <w:bCs/>
          <w:color w:val="1F3864"/>
          <w:sz w:val="32"/>
          <w:szCs w:val="32"/>
        </w:rPr>
        <w:t xml:space="preserve">Abstract</w:t>
      </w:r>
    </w:p>
    <w:p>
      <w:pPr>
        <w:spacing w:after="120" w:before="0" w:line="300"/>
        <w:jc w:val="both"/>
      </w:pPr>
      <w:r>
        <w:rPr>
          <w:rFonts w:ascii="Calibri" w:cs="Calibri" w:eastAsia="Calibri" w:hAnsi="Calibri"/>
          <w:b w:val="false"/>
          <w:bCs w:val="false"/>
          <w:i w:val="false"/>
          <w:iCs w:val="false"/>
          <w:sz w:val="22"/>
          <w:szCs w:val="22"/>
        </w:rPr>
        <w:t xml:space="preserve">Rapid urban expansion in Indian megacities such as Delhi has produced a compounding set of sustainability stresses across water supply, energy distribution, waste management, and atmospheric emissions. Conventional urban planning pipelines remain fragmented, retrospective, and unable to capture the feedback loops between these domains. This paper presents InfraVision, a Digital Twin enabled sustainability intelligence framework that integrates graph based infrastructure modelling, multi model machine learning forecasting, constraint based optimisation, and explainable decision support into a unified analytical environment.</w:t>
      </w:r>
    </w:p>
    <w:p>
      <w:pPr>
        <w:spacing w:after="120" w:before="0" w:line="300"/>
        <w:jc w:val="both"/>
      </w:pPr>
      <w:r>
        <w:rPr>
          <w:rFonts w:ascii="Calibri" w:cs="Calibri" w:eastAsia="Calibri" w:hAnsi="Calibri"/>
          <w:b w:val="false"/>
          <w:bCs w:val="false"/>
          <w:i w:val="false"/>
          <w:iCs w:val="false"/>
          <w:sz w:val="22"/>
          <w:szCs w:val="22"/>
        </w:rPr>
        <w:t xml:space="preserve">The framework models Delhi as a nine zone graph with cross domain edges representing water, energy, waste, and carbon linkages. Forecasting modules based on Prophet, XGBoost, Random Forest, and Ridge Regression project demand and emission trajectories to 2030, while a PuLP based optimiser evaluates budget constrained policy scenarios. Empirical results indicate a projected water deficit growth from 594 to 764 MGD, a rise in greenhouse gas emissions from 56.5 to 62.4 MtCO₂e, and a simultaneous improvement in waste processing efficiency from 78% to 95%. Under optimised policy intervention, the composite sustainability score improves by 5.08 points and carbon emissions fall by 9.49 MtCO₂e.</w:t>
      </w:r>
    </w:p>
    <w:p>
      <w:pPr>
        <w:spacing w:after="120" w:before="0" w:line="300"/>
        <w:jc w:val="both"/>
      </w:pPr>
      <w:r>
        <w:rPr>
          <w:rFonts w:ascii="Calibri" w:cs="Calibri" w:eastAsia="Calibri" w:hAnsi="Calibri"/>
          <w:b w:val="false"/>
          <w:bCs w:val="false"/>
          <w:i w:val="false"/>
          <w:iCs w:val="false"/>
          <w:sz w:val="22"/>
          <w:szCs w:val="22"/>
        </w:rPr>
        <w:t xml:space="preserve">Beyond the predictive layer, a dedicated validation stage benchmarks forecasts against historical ground truth using RMSE and MAE, tests simulation outputs against expected real world trends, examines sensitivity to demographic and demand perturbations, and compares decision quality against traditional planning baselines. The results confirm that the proposed framework produces statistically reliable, decision useful intelligence for sustainable urban planning.</w:t>
      </w:r>
    </w:p>
    <w:p>
      <w:r>
        <w:br w:type="page"/>
      </w:r>
    </w:p>
    <w:p>
      <w:pPr>
        <w:pStyle w:val="Heading2"/>
        <w:spacing w:after="140" w:before="280"/>
      </w:pPr>
      <w:r>
        <w:rPr>
          <w:rFonts w:ascii="Calibri" w:cs="Calibri" w:eastAsia="Calibri" w:hAnsi="Calibri"/>
          <w:b/>
          <w:bCs/>
          <w:color w:val="2E74B5"/>
          <w:sz w:val="26"/>
          <w:szCs w:val="26"/>
        </w:rPr>
        <w:t xml:space="preserve">Keywords</w:t>
      </w:r>
    </w:p>
    <w:p>
      <w:pPr>
        <w:spacing w:after="120" w:before="0" w:line="300"/>
        <w:jc w:val="both"/>
      </w:pPr>
      <w:r>
        <w:rPr>
          <w:rFonts w:ascii="Calibri" w:cs="Calibri" w:eastAsia="Calibri" w:hAnsi="Calibri"/>
          <w:b w:val="false"/>
          <w:bCs w:val="false"/>
          <w:i/>
          <w:iCs/>
          <w:sz w:val="22"/>
          <w:szCs w:val="22"/>
        </w:rPr>
        <w:t xml:space="preserve">Digital Twin, Smart Cities, Urban Sustainability, Machine Learning Forecasting, Policy Optimisation, Explainable AI, Delhi, Carbon Intelligence.</w:t>
      </w:r>
    </w:p>
    <w:p>
      <w:pPr>
        <w:pStyle w:val="Heading1"/>
        <w:spacing w:after="180" w:before="360"/>
      </w:pPr>
      <w:r>
        <w:rPr>
          <w:rFonts w:ascii="Calibri" w:cs="Calibri" w:eastAsia="Calibri" w:hAnsi="Calibri"/>
          <w:b/>
          <w:bCs/>
          <w:color w:val="1F3864"/>
          <w:sz w:val="32"/>
          <w:szCs w:val="32"/>
        </w:rPr>
        <w:t xml:space="preserve">1. Introduction</w:t>
      </w:r>
    </w:p>
    <w:p>
      <w:pPr>
        <w:spacing w:after="120" w:before="0" w:line="300"/>
        <w:jc w:val="both"/>
      </w:pPr>
      <w:r>
        <w:rPr>
          <w:rFonts w:ascii="Calibri" w:cs="Calibri" w:eastAsia="Calibri" w:hAnsi="Calibri"/>
          <w:b w:val="false"/>
          <w:bCs w:val="false"/>
          <w:i w:val="false"/>
          <w:iCs w:val="false"/>
          <w:sz w:val="22"/>
          <w:szCs w:val="22"/>
        </w:rPr>
        <w:t xml:space="preserve">Cities are responsible for a disproportionate share of global resource consumption and greenhouse gas emissions. Delhi, with a population exceeding thirty three million, exhibits acute stresses across all sustainability dimensions simultaneously: a persistent water deficit, worsening air quality, escalating per capita energy demand, and uneven waste processing capacity. Existing planning instruments typically treat these domains in isolation and rely on annual static reports that cannot support anticipatory decision making.</w:t>
      </w:r>
    </w:p>
    <w:p>
      <w:pPr>
        <w:spacing w:after="120" w:before="0" w:line="300"/>
        <w:jc w:val="both"/>
      </w:pPr>
      <w:r>
        <w:rPr>
          <w:rFonts w:ascii="Calibri" w:cs="Calibri" w:eastAsia="Calibri" w:hAnsi="Calibri"/>
          <w:b w:val="false"/>
          <w:bCs w:val="false"/>
          <w:i w:val="false"/>
          <w:iCs w:val="false"/>
          <w:sz w:val="22"/>
          <w:szCs w:val="22"/>
        </w:rPr>
        <w:t xml:space="preserve">Digital Twin technology offers a structural answer to this problem by creating a continuously updated virtual replica of the physical city. A well designed twin supports three capabilities that traditional planning lacks:</w:t>
      </w:r>
    </w:p>
    <w:p>
      <w:pPr>
        <w:pStyle w:val="ListParagraph"/>
        <w:numPr>
          <w:ilvl w:val="0"/>
          <w:numId w:val="2"/>
        </w:numPr>
        <w:spacing w:after="80" w:line="290"/>
      </w:pPr>
      <w:r>
        <w:rPr>
          <w:rFonts w:ascii="Calibri" w:cs="Calibri" w:eastAsia="Calibri" w:hAnsi="Calibri"/>
          <w:sz w:val="22"/>
          <w:szCs w:val="22"/>
        </w:rPr>
        <w:t xml:space="preserve">Real time monitoring of resource flows and infrastructure state.</w:t>
      </w:r>
    </w:p>
    <w:p>
      <w:pPr>
        <w:pStyle w:val="ListParagraph"/>
        <w:numPr>
          <w:ilvl w:val="0"/>
          <w:numId w:val="2"/>
        </w:numPr>
        <w:spacing w:after="80" w:line="290"/>
      </w:pPr>
      <w:r>
        <w:rPr>
          <w:rFonts w:ascii="Calibri" w:cs="Calibri" w:eastAsia="Calibri" w:hAnsi="Calibri"/>
          <w:sz w:val="22"/>
          <w:szCs w:val="22"/>
        </w:rPr>
        <w:t xml:space="preserve">Predictive analytics that project future demand, stress, and risk.</w:t>
      </w:r>
    </w:p>
    <w:p>
      <w:pPr>
        <w:pStyle w:val="ListParagraph"/>
        <w:numPr>
          <w:ilvl w:val="0"/>
          <w:numId w:val="2"/>
        </w:numPr>
        <w:spacing w:after="80" w:line="290"/>
      </w:pPr>
      <w:r>
        <w:rPr>
          <w:rFonts w:ascii="Calibri" w:cs="Calibri" w:eastAsia="Calibri" w:hAnsi="Calibri"/>
          <w:sz w:val="22"/>
          <w:szCs w:val="22"/>
        </w:rPr>
        <w:t xml:space="preserve">Policy simulation that quantifies trade offs before any physical intervention is committed.</w:t>
      </w:r>
    </w:p>
    <w:p>
      <w:pPr>
        <w:spacing w:after="120" w:before="0" w:line="300"/>
        <w:jc w:val="both"/>
      </w:pPr>
      <w:r>
        <w:rPr>
          <w:rFonts w:ascii="Calibri" w:cs="Calibri" w:eastAsia="Calibri" w:hAnsi="Calibri"/>
          <w:b w:val="false"/>
          <w:bCs w:val="false"/>
          <w:i w:val="false"/>
          <w:iCs w:val="false"/>
          <w:sz w:val="22"/>
          <w:szCs w:val="22"/>
        </w:rPr>
        <w:t xml:space="preserve">This paper formalises an end to end Digital Twin framework for urban sustainability intelligence and evaluates it on the case of Delhi. The contribution is not only a predictive system but a decision support environment in which forecasts, optimisation, and explanation are tightly coupled and independently validated.</w:t>
      </w:r>
    </w:p>
    <w:p>
      <w:pPr>
        <w:pStyle w:val="Heading1"/>
        <w:spacing w:after="180" w:before="360"/>
      </w:pPr>
      <w:r>
        <w:rPr>
          <w:rFonts w:ascii="Calibri" w:cs="Calibri" w:eastAsia="Calibri" w:hAnsi="Calibri"/>
          <w:b/>
          <w:bCs/>
          <w:color w:val="1F3864"/>
          <w:sz w:val="32"/>
          <w:szCs w:val="32"/>
        </w:rPr>
        <w:t xml:space="preserve">2. Literature Review</w:t>
      </w:r>
    </w:p>
    <w:p>
      <w:pPr>
        <w:spacing w:after="120" w:before="0" w:line="300"/>
        <w:jc w:val="both"/>
      </w:pPr>
      <w:r>
        <w:rPr>
          <w:rFonts w:ascii="Calibri" w:cs="Calibri" w:eastAsia="Calibri" w:hAnsi="Calibri"/>
          <w:b w:val="false"/>
          <w:bCs w:val="false"/>
          <w:i w:val="false"/>
          <w:iCs w:val="false"/>
          <w:sz w:val="22"/>
          <w:szCs w:val="22"/>
        </w:rPr>
        <w:t xml:space="preserve">The past decade has produced a rich body of work on Digital Twins for urban systems. AI enabled twins have been shown to improve building energy efficiency and lower carbon footprints, while Internet of Things augmented twins support data driven governance and real time resource optimisation. Climate focused twins have been applied to flood resilience and heat risk, and several recent surveys emphasise the rising role of machine learning in predictive urban analytics.</w:t>
      </w:r>
    </w:p>
    <w:p>
      <w:pPr>
        <w:spacing w:after="120" w:before="0" w:line="300"/>
        <w:jc w:val="both"/>
      </w:pPr>
      <w:r>
        <w:rPr>
          <w:rFonts w:ascii="Calibri" w:cs="Calibri" w:eastAsia="Calibri" w:hAnsi="Calibri"/>
          <w:b w:val="false"/>
          <w:bCs w:val="false"/>
          <w:i w:val="false"/>
          <w:iCs w:val="false"/>
          <w:sz w:val="22"/>
          <w:szCs w:val="22"/>
        </w:rPr>
        <w:t xml:space="preserve">Despite this progress, three structural gaps persist across the literature:</w:t>
      </w:r>
    </w:p>
    <w:p>
      <w:pPr>
        <w:pStyle w:val="ListParagraph"/>
        <w:numPr>
          <w:ilvl w:val="0"/>
          <w:numId w:val="2"/>
        </w:numPr>
        <w:spacing w:after="80" w:line="290"/>
      </w:pPr>
      <w:r>
        <w:rPr>
          <w:rFonts w:ascii="Calibri" w:cs="Calibri" w:eastAsia="Calibri" w:hAnsi="Calibri"/>
          <w:sz w:val="22"/>
          <w:szCs w:val="22"/>
        </w:rPr>
        <w:t xml:space="preserve">Most implementations are domain specific and treat water, energy, waste, and emissions as independent modules rather than interacting subsystems.</w:t>
      </w:r>
    </w:p>
    <w:p>
      <w:pPr>
        <w:pStyle w:val="ListParagraph"/>
        <w:numPr>
          <w:ilvl w:val="0"/>
          <w:numId w:val="2"/>
        </w:numPr>
        <w:spacing w:after="80" w:line="290"/>
      </w:pPr>
      <w:r>
        <w:rPr>
          <w:rFonts w:ascii="Calibri" w:cs="Calibri" w:eastAsia="Calibri" w:hAnsi="Calibri"/>
          <w:sz w:val="22"/>
          <w:szCs w:val="22"/>
        </w:rPr>
        <w:t xml:space="preserve">Optimisation is rarely embedded in the twin; policy ranking is either manual or heuristic.</w:t>
      </w:r>
    </w:p>
    <w:p>
      <w:pPr>
        <w:pStyle w:val="ListParagraph"/>
        <w:numPr>
          <w:ilvl w:val="0"/>
          <w:numId w:val="2"/>
        </w:numPr>
        <w:spacing w:after="80" w:line="290"/>
      </w:pPr>
      <w:r>
        <w:rPr>
          <w:rFonts w:ascii="Calibri" w:cs="Calibri" w:eastAsia="Calibri" w:hAnsi="Calibri"/>
          <w:sz w:val="22"/>
          <w:szCs w:val="22"/>
        </w:rPr>
        <w:t xml:space="preserve">Explanation of model output is often absent, limiting the trust that planners can place in the system.</w:t>
      </w:r>
    </w:p>
    <w:p>
      <w:pPr>
        <w:spacing w:after="120" w:before="0" w:line="300"/>
        <w:jc w:val="both"/>
      </w:pPr>
      <w:r>
        <w:rPr>
          <w:rFonts w:ascii="Calibri" w:cs="Calibri" w:eastAsia="Calibri" w:hAnsi="Calibri"/>
          <w:b w:val="false"/>
          <w:bCs w:val="false"/>
          <w:i w:val="false"/>
          <w:iCs w:val="false"/>
          <w:sz w:val="22"/>
          <w:szCs w:val="22"/>
        </w:rPr>
        <w:t xml:space="preserve">InfraVision is positioned to address these gaps by combining multi domain simulation, optimisation based policy ranking, and SHAP driven explanation within a single operational framework.</w:t>
      </w:r>
    </w:p>
    <w:p>
      <w:pPr>
        <w:pStyle w:val="Heading1"/>
        <w:spacing w:after="180" w:before="360"/>
      </w:pPr>
      <w:r>
        <w:rPr>
          <w:rFonts w:ascii="Calibri" w:cs="Calibri" w:eastAsia="Calibri" w:hAnsi="Calibri"/>
          <w:b/>
          <w:bCs/>
          <w:color w:val="1F3864"/>
          <w:sz w:val="32"/>
          <w:szCs w:val="32"/>
        </w:rPr>
        <w:t xml:space="preserve">3. Methodology</w:t>
      </w:r>
    </w:p>
    <w:p>
      <w:pPr>
        <w:pStyle w:val="Heading2"/>
        <w:spacing w:after="140" w:before="280"/>
      </w:pPr>
      <w:r>
        <w:rPr>
          <w:rFonts w:ascii="Calibri" w:cs="Calibri" w:eastAsia="Calibri" w:hAnsi="Calibri"/>
          <w:b/>
          <w:bCs/>
          <w:color w:val="2E74B5"/>
          <w:sz w:val="26"/>
          <w:szCs w:val="26"/>
        </w:rPr>
        <w:t xml:space="preserve">3.1 Digital Twin Representation</w:t>
      </w:r>
    </w:p>
    <w:p>
      <w:pPr>
        <w:spacing w:after="120" w:before="0" w:line="300"/>
        <w:jc w:val="both"/>
      </w:pPr>
      <w:r>
        <w:rPr>
          <w:rFonts w:ascii="Calibri" w:cs="Calibri" w:eastAsia="Calibri" w:hAnsi="Calibri"/>
          <w:b w:val="false"/>
          <w:bCs w:val="false"/>
          <w:i w:val="false"/>
          <w:iCs w:val="false"/>
          <w:sz w:val="22"/>
          <w:szCs w:val="22"/>
        </w:rPr>
        <w:t xml:space="preserve">The city is modelled as a directed multi edge graph G = (V, E) where V denotes the set of nine administrative zones of Delhi and E denotes the set of infrastructure linkages connecting them. Each edge is typed by domain (water, energy, waste, carbon) and carries capacity, loss, and latency attributes. This representation allows cascading failure analysis: a disruption at a vertex propagates along typed edges to dependent zones.</w:t>
      </w:r>
    </w:p>
    <w:p>
      <w:pPr>
        <w:pStyle w:val="Heading2"/>
        <w:spacing w:after="140" w:before="280"/>
      </w:pPr>
      <w:r>
        <w:rPr>
          <w:rFonts w:ascii="Calibri" w:cs="Calibri" w:eastAsia="Calibri" w:hAnsi="Calibri"/>
          <w:b/>
          <w:bCs/>
          <w:color w:val="2E74B5"/>
          <w:sz w:val="26"/>
          <w:szCs w:val="26"/>
        </w:rPr>
        <w:t xml:space="preserve">3.2 Machine Learning Forecasting Layer</w:t>
      </w:r>
    </w:p>
    <w:p>
      <w:pPr>
        <w:spacing w:after="120" w:before="0" w:line="300"/>
        <w:jc w:val="both"/>
      </w:pPr>
      <w:r>
        <w:rPr>
          <w:rFonts w:ascii="Calibri" w:cs="Calibri" w:eastAsia="Calibri" w:hAnsi="Calibri"/>
          <w:b w:val="false"/>
          <w:bCs w:val="false"/>
          <w:i w:val="false"/>
          <w:iCs w:val="false"/>
          <w:sz w:val="22"/>
          <w:szCs w:val="22"/>
        </w:rPr>
        <w:t xml:space="preserve">Four domain specific models were selected based on the statistical character of their target series:</w:t>
      </w:r>
    </w:p>
    <w:p>
      <w:pPr>
        <w:pStyle w:val="ListParagraph"/>
        <w:numPr>
          <w:ilvl w:val="0"/>
          <w:numId w:val="2"/>
        </w:numPr>
        <w:spacing w:after="80" w:line="290"/>
      </w:pPr>
      <w:r>
        <w:rPr>
          <w:rFonts w:ascii="Calibri" w:cs="Calibri" w:eastAsia="Calibri" w:hAnsi="Calibri"/>
          <w:sz w:val="22"/>
          <w:szCs w:val="22"/>
        </w:rPr>
        <w:t xml:space="preserve">Prophet for water demand, where strong seasonality and trend changepoints dominate.</w:t>
      </w:r>
    </w:p>
    <w:p>
      <w:pPr>
        <w:pStyle w:val="ListParagraph"/>
        <w:numPr>
          <w:ilvl w:val="0"/>
          <w:numId w:val="2"/>
        </w:numPr>
        <w:spacing w:after="80" w:line="290"/>
      </w:pPr>
      <w:r>
        <w:rPr>
          <w:rFonts w:ascii="Calibri" w:cs="Calibri" w:eastAsia="Calibri" w:hAnsi="Calibri"/>
          <w:sz w:val="22"/>
          <w:szCs w:val="22"/>
        </w:rPr>
        <w:t xml:space="preserve">XGBoost for energy demand, where non linear interactions between temperature, occupancy, and tariff structure are material.</w:t>
      </w:r>
    </w:p>
    <w:p>
      <w:pPr>
        <w:pStyle w:val="ListParagraph"/>
        <w:numPr>
          <w:ilvl w:val="0"/>
          <w:numId w:val="2"/>
        </w:numPr>
        <w:spacing w:after="80" w:line="290"/>
      </w:pPr>
      <w:r>
        <w:rPr>
          <w:rFonts w:ascii="Calibri" w:cs="Calibri" w:eastAsia="Calibri" w:hAnsi="Calibri"/>
          <w:sz w:val="22"/>
          <w:szCs w:val="22"/>
        </w:rPr>
        <w:t xml:space="preserve">Random Forest for waste generation, which is tolerant to heterogeneous and partially missing ward level data.</w:t>
      </w:r>
    </w:p>
    <w:p>
      <w:pPr>
        <w:pStyle w:val="ListParagraph"/>
        <w:numPr>
          <w:ilvl w:val="0"/>
          <w:numId w:val="2"/>
        </w:numPr>
        <w:spacing w:after="80" w:line="290"/>
      </w:pPr>
      <w:r>
        <w:rPr>
          <w:rFonts w:ascii="Calibri" w:cs="Calibri" w:eastAsia="Calibri" w:hAnsi="Calibri"/>
          <w:sz w:val="22"/>
          <w:szCs w:val="22"/>
        </w:rPr>
        <w:t xml:space="preserve">Ridge Regression for carbon emissions, where the relationship between activity drivers and emissions is approximately linear and benefits from regularisation.</w:t>
      </w:r>
    </w:p>
    <w:p>
      <w:pPr>
        <w:pStyle w:val="Heading2"/>
        <w:spacing w:after="140" w:before="280"/>
      </w:pPr>
      <w:r>
        <w:rPr>
          <w:rFonts w:ascii="Calibri" w:cs="Calibri" w:eastAsia="Calibri" w:hAnsi="Calibri"/>
          <w:b/>
          <w:bCs/>
          <w:color w:val="2E74B5"/>
          <w:sz w:val="26"/>
          <w:szCs w:val="26"/>
        </w:rPr>
        <w:t xml:space="preserve">3.3 Optimisation Layer</w:t>
      </w:r>
    </w:p>
    <w:p>
      <w:pPr>
        <w:spacing w:after="120" w:before="0" w:line="300"/>
        <w:jc w:val="both"/>
      </w:pPr>
      <w:r>
        <w:rPr>
          <w:rFonts w:ascii="Calibri" w:cs="Calibri" w:eastAsia="Calibri" w:hAnsi="Calibri"/>
          <w:b w:val="false"/>
          <w:bCs w:val="false"/>
          <w:i w:val="false"/>
          <w:iCs w:val="false"/>
          <w:sz w:val="22"/>
          <w:szCs w:val="22"/>
        </w:rPr>
        <w:t xml:space="preserve">Policy selection is cast as a linear programme solved using PuLP. The objective maximises composite sustainability return subject to budget, emission, and equity constraints:</w:t>
      </w:r>
    </w:p>
    <w:p>
      <w:pPr>
        <w:spacing w:after="120" w:before="0" w:line="300"/>
        <w:jc w:val="center"/>
      </w:pPr>
      <w:r>
        <w:rPr>
          <w:rFonts w:ascii="Calibri" w:cs="Calibri" w:eastAsia="Calibri" w:hAnsi="Calibri"/>
          <w:b w:val="false"/>
          <w:bCs w:val="false"/>
          <w:i/>
          <w:iCs/>
          <w:sz w:val="22"/>
          <w:szCs w:val="22"/>
        </w:rPr>
        <w:t xml:space="preserve">Maximise Z = Σ (Eᵢ × Iᵢ)  for i = 1 ... n</w:t>
      </w:r>
    </w:p>
    <w:p>
      <w:pPr>
        <w:spacing w:after="120" w:before="0" w:line="300"/>
        <w:jc w:val="both"/>
      </w:pPr>
      <w:r>
        <w:rPr>
          <w:rFonts w:ascii="Calibri" w:cs="Calibri" w:eastAsia="Calibri" w:hAnsi="Calibri"/>
          <w:b w:val="false"/>
          <w:bCs w:val="false"/>
          <w:i w:val="false"/>
          <w:iCs w:val="false"/>
          <w:sz w:val="22"/>
          <w:szCs w:val="22"/>
        </w:rPr>
        <w:t xml:space="preserve">subject to:</w:t>
      </w:r>
    </w:p>
    <w:p>
      <w:pPr>
        <w:pStyle w:val="ListParagraph"/>
        <w:numPr>
          <w:ilvl w:val="0"/>
          <w:numId w:val="2"/>
        </w:numPr>
        <w:spacing w:after="80" w:line="290"/>
      </w:pPr>
      <w:r>
        <w:rPr>
          <w:rFonts w:ascii="Calibri" w:cs="Calibri" w:eastAsia="Calibri" w:hAnsi="Calibri"/>
          <w:sz w:val="22"/>
          <w:szCs w:val="22"/>
        </w:rPr>
        <w:t xml:space="preserve">A capital budget constraint: Σ cᵢ Iᵢ ≤ B.</w:t>
      </w:r>
    </w:p>
    <w:p>
      <w:pPr>
        <w:pStyle w:val="ListParagraph"/>
        <w:numPr>
          <w:ilvl w:val="0"/>
          <w:numId w:val="2"/>
        </w:numPr>
        <w:spacing w:after="80" w:line="290"/>
      </w:pPr>
      <w:r>
        <w:rPr>
          <w:rFonts w:ascii="Calibri" w:cs="Calibri" w:eastAsia="Calibri" w:hAnsi="Calibri"/>
          <w:sz w:val="22"/>
          <w:szCs w:val="22"/>
        </w:rPr>
        <w:t xml:space="preserve">An emission reduction target: Σ rᵢ Iᵢ ≥ R*.</w:t>
      </w:r>
    </w:p>
    <w:p>
      <w:pPr>
        <w:pStyle w:val="ListParagraph"/>
        <w:numPr>
          <w:ilvl w:val="0"/>
          <w:numId w:val="2"/>
        </w:numPr>
        <w:spacing w:after="80" w:line="290"/>
      </w:pPr>
      <w:r>
        <w:rPr>
          <w:rFonts w:ascii="Calibri" w:cs="Calibri" w:eastAsia="Calibri" w:hAnsi="Calibri"/>
          <w:sz w:val="22"/>
          <w:szCs w:val="22"/>
        </w:rPr>
        <w:t xml:space="preserve">A minimum sustainability score improvement: ΔS ≥ S*.</w:t>
      </w:r>
    </w:p>
    <w:p>
      <w:pPr>
        <w:spacing w:after="120" w:before="0" w:line="300"/>
        <w:jc w:val="both"/>
      </w:pPr>
      <w:r>
        <w:rPr>
          <w:rFonts w:ascii="Calibri" w:cs="Calibri" w:eastAsia="Calibri" w:hAnsi="Calibri"/>
          <w:b w:val="false"/>
          <w:bCs w:val="false"/>
          <w:i w:val="false"/>
          <w:iCs w:val="false"/>
          <w:sz w:val="22"/>
          <w:szCs w:val="22"/>
        </w:rPr>
        <w:t xml:space="preserve">Eᵢ represents the expected impact of policy i, Iᵢ is a binary or continuous intervention variable, cᵢ is the capital cost, and rᵢ is the per unit emission reduction.</w:t>
      </w:r>
    </w:p>
    <w:p>
      <w:pPr>
        <w:pStyle w:val="Heading1"/>
        <w:spacing w:after="180" w:before="360"/>
      </w:pPr>
      <w:r>
        <w:rPr>
          <w:rFonts w:ascii="Calibri" w:cs="Calibri" w:eastAsia="Calibri" w:hAnsi="Calibri"/>
          <w:b/>
          <w:bCs/>
          <w:color w:val="1F3864"/>
          <w:sz w:val="32"/>
          <w:szCs w:val="32"/>
        </w:rPr>
        <w:t xml:space="preserve">4. System Architecture</w:t>
      </w:r>
    </w:p>
    <w:p>
      <w:pPr>
        <w:spacing w:after="120" w:before="0" w:line="300"/>
        <w:jc w:val="both"/>
      </w:pPr>
      <w:r>
        <w:rPr>
          <w:rFonts w:ascii="Calibri" w:cs="Calibri" w:eastAsia="Calibri" w:hAnsi="Calibri"/>
          <w:b w:val="false"/>
          <w:bCs w:val="false"/>
          <w:i w:val="false"/>
          <w:iCs w:val="false"/>
          <w:sz w:val="22"/>
          <w:szCs w:val="22"/>
        </w:rPr>
        <w:t xml:space="preserve">InfraVision follows a four layer architecture chosen for modularity and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Layer</w:t>
            </w:r>
          </w:p>
        </w:tc>
        <w:tc>
          <w:tcPr>
            <w:tcW w:type="dxa" w:w="30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Technology</w:t>
            </w:r>
          </w:p>
        </w:tc>
        <w:tc>
          <w:tcPr>
            <w:tcW w:type="dxa" w:w="416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Function</w:t>
            </w:r>
          </w:p>
        </w:tc>
      </w:tr>
      <w:tr>
        <w:tc>
          <w:tcPr>
            <w:tcW w:type="dxa" w:w="22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Graph Engine</w:t>
            </w:r>
          </w:p>
        </w:tc>
        <w:tc>
          <w:tcPr>
            <w:tcW w:type="dxa" w:w="3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NetworkX</w:t>
            </w:r>
          </w:p>
        </w:tc>
        <w:tc>
          <w:tcPr>
            <w:tcW w:type="dxa" w:w="41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Topology, cascade analysis, criticality scoring</w:t>
            </w:r>
          </w:p>
        </w:tc>
      </w:tr>
      <w:tr>
        <w:tc>
          <w:tcPr>
            <w:tcW w:type="dxa" w:w="22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ML Engine</w:t>
            </w:r>
          </w:p>
        </w:tc>
        <w:tc>
          <w:tcPr>
            <w:tcW w:type="dxa" w:w="3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Python (Prophet, XGBoost, sklearn)</w:t>
            </w:r>
          </w:p>
        </w:tc>
        <w:tc>
          <w:tcPr>
            <w:tcW w:type="dxa" w:w="41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Domain forecasting and scenario projection</w:t>
            </w:r>
          </w:p>
        </w:tc>
      </w:tr>
      <w:tr>
        <w:tc>
          <w:tcPr>
            <w:tcW w:type="dxa" w:w="22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Optimisation</w:t>
            </w:r>
          </w:p>
        </w:tc>
        <w:tc>
          <w:tcPr>
            <w:tcW w:type="dxa" w:w="3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PuLP (CBC solver)</w:t>
            </w:r>
          </w:p>
        </w:tc>
        <w:tc>
          <w:tcPr>
            <w:tcW w:type="dxa" w:w="41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Policy ranking under budget and emission constraints</w:t>
            </w:r>
          </w:p>
        </w:tc>
      </w:tr>
      <w:tr>
        <w:tc>
          <w:tcPr>
            <w:tcW w:type="dxa" w:w="22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Dashboard</w:t>
            </w:r>
          </w:p>
        </w:tc>
        <w:tc>
          <w:tcPr>
            <w:tcW w:type="dxa" w:w="3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Next.js, TypeScript</w:t>
            </w:r>
          </w:p>
        </w:tc>
        <w:tc>
          <w:tcPr>
            <w:tcW w:type="dxa" w:w="41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Interactive planner facing decision support</w:t>
            </w:r>
          </w:p>
        </w:tc>
      </w:tr>
    </w:tbl>
    <w:p>
      <w:pPr>
        <w:spacing w:after="120" w:before="0" w:line="300"/>
        <w:jc w:val="both"/>
      </w:pPr>
      <w:r>
        <w:rPr>
          <w:rFonts w:ascii="Calibri" w:cs="Calibri" w:eastAsia="Calibri" w:hAnsi="Calibri"/>
          <w:b w:val="false"/>
          <w:bCs w:val="false"/>
          <w:i w:val="false"/>
          <w:iCs w:val="false"/>
          <w:sz w:val="22"/>
          <w:szCs w:val="22"/>
        </w:rPr>
        <w:t xml:space="preserve">The end to end data flow is: data ingestion → preprocessing and feature engineering → simulation and forecasting → optimisation → explanation → decision support surface.</w:t>
      </w:r>
    </w:p>
    <w:p>
      <w:pPr>
        <w:pStyle w:val="Heading1"/>
        <w:spacing w:after="180" w:before="360"/>
      </w:pPr>
      <w:r>
        <w:rPr>
          <w:rFonts w:ascii="Calibri" w:cs="Calibri" w:eastAsia="Calibri" w:hAnsi="Calibri"/>
          <w:b/>
          <w:bCs/>
          <w:color w:val="1F3864"/>
          <w:sz w:val="32"/>
          <w:szCs w:val="32"/>
        </w:rPr>
        <w:t xml:space="preserve">5. Results and Analysis</w:t>
      </w:r>
    </w:p>
    <w:p>
      <w:pPr>
        <w:pStyle w:val="Heading2"/>
        <w:spacing w:after="140" w:before="280"/>
      </w:pPr>
      <w:r>
        <w:rPr>
          <w:rFonts w:ascii="Calibri" w:cs="Calibri" w:eastAsia="Calibri" w:hAnsi="Calibri"/>
          <w:b/>
          <w:bCs/>
          <w:color w:val="2E74B5"/>
          <w:sz w:val="26"/>
          <w:szCs w:val="26"/>
        </w:rPr>
        <w:t xml:space="preserve">5.1 Baseline Projections (2025 →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Indicator</w:t>
            </w:r>
          </w:p>
        </w:tc>
        <w:tc>
          <w:tcPr>
            <w:tcW w:type="dxa" w:w="20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2025</w:t>
            </w:r>
          </w:p>
        </w:tc>
        <w:tc>
          <w:tcPr>
            <w:tcW w:type="dxa" w:w="20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2030</w:t>
            </w:r>
          </w:p>
        </w:tc>
        <w:tc>
          <w:tcPr>
            <w:tcW w:type="dxa" w:w="216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Direction</w:t>
            </w:r>
          </w:p>
        </w:tc>
      </w:tr>
      <w:tr>
        <w:tc>
          <w:tcPr>
            <w:tcW w:type="dxa" w:w="32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Water Gap (MGD)</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594</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764</w:t>
            </w:r>
          </w:p>
        </w:tc>
        <w:tc>
          <w:tcPr>
            <w:tcW w:type="dxa" w:w="21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Worsening</w:t>
            </w:r>
          </w:p>
        </w:tc>
      </w:tr>
      <w:tr>
        <w:tc>
          <w:tcPr>
            <w:tcW w:type="dxa" w:w="32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Waste Processing Efficiency</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78%</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95%</w:t>
            </w:r>
          </w:p>
        </w:tc>
        <w:tc>
          <w:tcPr>
            <w:tcW w:type="dxa" w:w="21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Improving</w:t>
            </w:r>
          </w:p>
        </w:tc>
      </w:tr>
      <w:tr>
        <w:tc>
          <w:tcPr>
            <w:tcW w:type="dxa" w:w="32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GHG Emissions (MtCO₂e)</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56.5</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62.4</w:t>
            </w:r>
          </w:p>
        </w:tc>
        <w:tc>
          <w:tcPr>
            <w:tcW w:type="dxa" w:w="21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Worsening</w:t>
            </w:r>
          </w:p>
        </w:tc>
      </w:tr>
      <w:tr>
        <w:tc>
          <w:tcPr>
            <w:tcW w:type="dxa" w:w="32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Composite Sustainability Score</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60.22</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62.44</w:t>
            </w:r>
          </w:p>
        </w:tc>
        <w:tc>
          <w:tcPr>
            <w:tcW w:type="dxa" w:w="21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Improving</w:t>
            </w:r>
          </w:p>
        </w:tc>
      </w:tr>
    </w:tbl>
    <w:p>
      <w:pPr>
        <w:pStyle w:val="Heading2"/>
        <w:spacing w:after="140" w:before="280"/>
      </w:pPr>
      <w:r>
        <w:rPr>
          <w:rFonts w:ascii="Calibri" w:cs="Calibri" w:eastAsia="Calibri" w:hAnsi="Calibri"/>
          <w:b/>
          <w:bCs/>
          <w:color w:val="2E74B5"/>
          <w:sz w:val="26"/>
          <w:szCs w:val="26"/>
        </w:rPr>
        <w:t xml:space="preserve">5.2 Policy Simulation Outcomes</w:t>
      </w:r>
    </w:p>
    <w:p>
      <w:pPr>
        <w:pStyle w:val="ListParagraph"/>
        <w:numPr>
          <w:ilvl w:val="0"/>
          <w:numId w:val="2"/>
        </w:numPr>
        <w:spacing w:after="80" w:line="290"/>
      </w:pPr>
      <w:r>
        <w:rPr>
          <w:rFonts w:ascii="Calibri" w:cs="Calibri" w:eastAsia="Calibri" w:hAnsi="Calibri"/>
          <w:sz w:val="22"/>
          <w:szCs w:val="22"/>
        </w:rPr>
        <w:t xml:space="preserve">Composite sustainability score improvement under the optimised policy bundle: +5.08 points.</w:t>
      </w:r>
    </w:p>
    <w:p>
      <w:pPr>
        <w:pStyle w:val="ListParagraph"/>
        <w:numPr>
          <w:ilvl w:val="0"/>
          <w:numId w:val="2"/>
        </w:numPr>
        <w:spacing w:after="80" w:line="290"/>
      </w:pPr>
      <w:r>
        <w:rPr>
          <w:rFonts w:ascii="Calibri" w:cs="Calibri" w:eastAsia="Calibri" w:hAnsi="Calibri"/>
          <w:sz w:val="22"/>
          <w:szCs w:val="22"/>
        </w:rPr>
        <w:t xml:space="preserve">Projected carbon reduction under the optimised bundle: −9.49 MtCO₂e by 2030.</w:t>
      </w:r>
    </w:p>
    <w:p>
      <w:pPr>
        <w:pStyle w:val="ListParagraph"/>
        <w:numPr>
          <w:ilvl w:val="0"/>
          <w:numId w:val="2"/>
        </w:numPr>
        <w:spacing w:after="80" w:line="290"/>
      </w:pPr>
      <w:r>
        <w:rPr>
          <w:rFonts w:ascii="Calibri" w:cs="Calibri" w:eastAsia="Calibri" w:hAnsi="Calibri"/>
          <w:sz w:val="22"/>
          <w:szCs w:val="22"/>
        </w:rPr>
        <w:t xml:space="preserve">Central zone emerges as the single highest criticality node; its failure propagates across four dependent zones.</w:t>
      </w:r>
    </w:p>
    <w:p>
      <w:pPr>
        <w:pStyle w:val="Heading2"/>
        <w:spacing w:after="140" w:before="280"/>
      </w:pPr>
      <w:r>
        <w:rPr>
          <w:rFonts w:ascii="Calibri" w:cs="Calibri" w:eastAsia="Calibri" w:hAnsi="Calibri"/>
          <w:b/>
          <w:bCs/>
          <w:color w:val="2E74B5"/>
          <w:sz w:val="26"/>
          <w:szCs w:val="26"/>
        </w:rPr>
        <w:t xml:space="preserve">5.3 Critical Insight</w:t>
      </w:r>
    </w:p>
    <w:p>
      <w:pPr>
        <w:spacing w:after="120" w:before="0" w:line="300"/>
        <w:jc w:val="both"/>
      </w:pPr>
      <w:r>
        <w:rPr>
          <w:rFonts w:ascii="Calibri" w:cs="Calibri" w:eastAsia="Calibri" w:hAnsi="Calibri"/>
          <w:b w:val="false"/>
          <w:bCs w:val="false"/>
          <w:i w:val="false"/>
          <w:iCs w:val="false"/>
          <w:sz w:val="22"/>
          <w:szCs w:val="22"/>
        </w:rPr>
        <w:t xml:space="preserve">Two of the four domains (waste and composite score) respond favourably to the current policy trajectory, while water and carbon continue to deteriorate. This divergence is the central planning insight of the study: aggregate score improvements mask domain specific regressions, and policy design must explicitly counterweight the worst performing domains.</w:t>
      </w:r>
    </w:p>
    <w:p>
      <w:r>
        <w:br w:type="page"/>
      </w:r>
    </w:p>
    <w:p>
      <w:pPr>
        <w:pStyle w:val="Heading1"/>
        <w:spacing w:after="180" w:before="360"/>
      </w:pPr>
      <w:r>
        <w:rPr>
          <w:rFonts w:ascii="Calibri" w:cs="Calibri" w:eastAsia="Calibri" w:hAnsi="Calibri"/>
          <w:b/>
          <w:bCs/>
          <w:color w:val="1F3864"/>
          <w:sz w:val="32"/>
          <w:szCs w:val="32"/>
        </w:rPr>
        <w:t xml:space="preserve">6. System Validation and Performance Evaluation</w:t>
      </w:r>
    </w:p>
    <w:p>
      <w:pPr>
        <w:spacing w:after="120" w:before="0" w:line="300"/>
        <w:jc w:val="both"/>
      </w:pPr>
      <w:r>
        <w:rPr>
          <w:rFonts w:ascii="Calibri" w:cs="Calibri" w:eastAsia="Calibri" w:hAnsi="Calibri"/>
          <w:b w:val="false"/>
          <w:bCs w:val="false"/>
          <w:i w:val="false"/>
          <w:iCs w:val="false"/>
          <w:sz w:val="22"/>
          <w:szCs w:val="22"/>
        </w:rPr>
        <w:t xml:space="preserve">A predictive planning system is only as useful as the confidence that can be placed in its outputs. This section presents the validation protocol applied to the InfraVision Digital Twin, covering empirical accuracy, simulation plausibility, input sensitivity, and benchmark comparison against traditional planning workflows.</w:t>
      </w:r>
    </w:p>
    <w:p>
      <w:pPr>
        <w:pStyle w:val="Heading2"/>
        <w:spacing w:after="140" w:before="280"/>
      </w:pPr>
      <w:r>
        <w:rPr>
          <w:rFonts w:ascii="Calibri" w:cs="Calibri" w:eastAsia="Calibri" w:hAnsi="Calibri"/>
          <w:b/>
          <w:bCs/>
          <w:color w:val="2E74B5"/>
          <w:sz w:val="26"/>
          <w:szCs w:val="26"/>
        </w:rPr>
        <w:t xml:space="preserve">6.1 Validation Strategy</w:t>
      </w:r>
    </w:p>
    <w:p>
      <w:pPr>
        <w:spacing w:after="120" w:before="0" w:line="300"/>
        <w:jc w:val="both"/>
      </w:pPr>
      <w:r>
        <w:rPr>
          <w:rFonts w:ascii="Calibri" w:cs="Calibri" w:eastAsia="Calibri" w:hAnsi="Calibri"/>
          <w:b w:val="false"/>
          <w:bCs w:val="false"/>
          <w:i w:val="false"/>
          <w:iCs w:val="false"/>
          <w:sz w:val="22"/>
          <w:szCs w:val="22"/>
        </w:rPr>
        <w:t xml:space="preserve">Validation was designed around the principle that a Digital Twin must reproduce observable sustainability indicators before its forward projections can be trusted. Three indicator families were selected because they combine public data availability with direct operational relevance: water demand, greenhouse gas emissions, and waste processing throughput.</w:t>
      </w:r>
    </w:p>
    <w:p>
      <w:pPr>
        <w:spacing w:after="120" w:before="0" w:line="300"/>
        <w:jc w:val="both"/>
      </w:pPr>
      <w:r>
        <w:rPr>
          <w:rFonts w:ascii="Calibri" w:cs="Calibri" w:eastAsia="Calibri" w:hAnsi="Calibri"/>
          <w:b w:val="false"/>
          <w:bCs w:val="false"/>
          <w:i w:val="false"/>
          <w:iCs w:val="false"/>
          <w:sz w:val="22"/>
          <w:szCs w:val="22"/>
        </w:rPr>
        <w:t xml:space="preserve">The strategy consists of four stages:</w:t>
      </w:r>
    </w:p>
    <w:p>
      <w:pPr>
        <w:pStyle w:val="ListParagraph"/>
        <w:numPr>
          <w:ilvl w:val="0"/>
          <w:numId w:val="3"/>
        </w:numPr>
        <w:spacing w:after="80" w:line="290"/>
      </w:pPr>
      <w:r>
        <w:rPr>
          <w:rFonts w:ascii="Calibri" w:cs="Calibri" w:eastAsia="Calibri" w:hAnsi="Calibri"/>
          <w:sz w:val="22"/>
          <w:szCs w:val="22"/>
        </w:rPr>
        <w:t xml:space="preserve">Historical ground truth for each indicator was assembled from Delhi Jal Board records, Central Pollution Control Board inventories, and Municipal Corporation of Delhi waste reports for the period 2015 to 2024.</w:t>
      </w:r>
    </w:p>
    <w:p>
      <w:pPr>
        <w:pStyle w:val="ListParagraph"/>
        <w:numPr>
          <w:ilvl w:val="0"/>
          <w:numId w:val="3"/>
        </w:numPr>
        <w:spacing w:after="80" w:line="290"/>
      </w:pPr>
      <w:r>
        <w:rPr>
          <w:rFonts w:ascii="Calibri" w:cs="Calibri" w:eastAsia="Calibri" w:hAnsi="Calibri"/>
          <w:sz w:val="22"/>
          <w:szCs w:val="22"/>
        </w:rPr>
        <w:t xml:space="preserve">The Digital Twin was run in hindcast mode on the 2015 to 2022 window and its predictions for 2023 and 2024 were compared with the withheld ground truth.</w:t>
      </w:r>
    </w:p>
    <w:p>
      <w:pPr>
        <w:pStyle w:val="ListParagraph"/>
        <w:numPr>
          <w:ilvl w:val="0"/>
          <w:numId w:val="3"/>
        </w:numPr>
        <w:spacing w:after="80" w:line="290"/>
      </w:pPr>
      <w:r>
        <w:rPr>
          <w:rFonts w:ascii="Calibri" w:cs="Calibri" w:eastAsia="Calibri" w:hAnsi="Calibri"/>
          <w:sz w:val="22"/>
          <w:szCs w:val="22"/>
        </w:rPr>
        <w:t xml:space="preserve">Residual error was decomposed by zone and by season to detect any systematic bias.</w:t>
      </w:r>
    </w:p>
    <w:p>
      <w:pPr>
        <w:pStyle w:val="ListParagraph"/>
        <w:numPr>
          <w:ilvl w:val="0"/>
          <w:numId w:val="3"/>
        </w:numPr>
        <w:spacing w:after="80" w:line="290"/>
      </w:pPr>
      <w:r>
        <w:rPr>
          <w:rFonts w:ascii="Calibri" w:cs="Calibri" w:eastAsia="Calibri" w:hAnsi="Calibri"/>
          <w:sz w:val="22"/>
          <w:szCs w:val="22"/>
        </w:rPr>
        <w:t xml:space="preserve">Baseline versus predicted comparisons were visualised to confirm that the model reproduces both the level and the shape of the observed series.</w:t>
      </w:r>
    </w:p>
    <w:p>
      <w:pPr>
        <w:spacing w:after="120" w:before="0" w:line="300"/>
        <w:jc w:val="both"/>
      </w:pPr>
      <w:r>
        <w:rPr>
          <w:rFonts w:ascii="Calibri" w:cs="Calibri" w:eastAsia="Calibri" w:hAnsi="Calibri"/>
          <w:b w:val="false"/>
          <w:bCs w:val="false"/>
          <w:i w:val="false"/>
          <w:iCs w:val="false"/>
          <w:sz w:val="22"/>
          <w:szCs w:val="22"/>
        </w:rPr>
        <w:t xml:space="preserve">The comparison confirms that predicted trajectories remain within the acceptable error envelope of the observed series across all three indicator families, establishing that the twin is a faithful digital counterpart of the physical system before any forward projection is drawn from it.</w:t>
      </w:r>
    </w:p>
    <w:p>
      <w:pPr>
        <w:pStyle w:val="Heading2"/>
        <w:spacing w:after="140" w:before="280"/>
      </w:pPr>
      <w:r>
        <w:rPr>
          <w:rFonts w:ascii="Calibri" w:cs="Calibri" w:eastAsia="Calibri" w:hAnsi="Calibri"/>
          <w:b/>
          <w:bCs/>
          <w:color w:val="2E74B5"/>
          <w:sz w:val="26"/>
          <w:szCs w:val="26"/>
        </w:rPr>
        <w:t xml:space="preserve">6.2 Model Evaluation Metrics</w:t>
      </w:r>
    </w:p>
    <w:p>
      <w:pPr>
        <w:spacing w:after="120" w:before="0" w:line="300"/>
        <w:jc w:val="both"/>
      </w:pPr>
      <w:r>
        <w:rPr>
          <w:rFonts w:ascii="Calibri" w:cs="Calibri" w:eastAsia="Calibri" w:hAnsi="Calibri"/>
          <w:b w:val="false"/>
          <w:bCs w:val="false"/>
          <w:i w:val="false"/>
          <w:iCs w:val="false"/>
          <w:sz w:val="22"/>
          <w:szCs w:val="22"/>
        </w:rPr>
        <w:t xml:space="preserve">Forecasting accuracy was quantified using Root Mean Squared Error (RMSE) and Mean Absolute Error (MAE), complemented by Mean Absolute Percentage Error (MAPE) for cross domain comparability. Metrics were computed on a held out test set corresponding to the most recent eighteen months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1900"/>
        <w:gridCol w:w="1200"/>
        <w:gridCol w:w="1200"/>
        <w:gridCol w:w="1000"/>
        <w:gridCol w:w="1800"/>
      </w:tblGrid>
      <w:tr>
        <w:trPr>
          <w:tblHeader/>
        </w:trPr>
        <w:tc>
          <w:tcPr>
            <w:tcW w:type="dxa" w:w="226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Forecasting Target</w:t>
            </w:r>
          </w:p>
        </w:tc>
        <w:tc>
          <w:tcPr>
            <w:tcW w:type="dxa" w:w="19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Model</w:t>
            </w:r>
          </w:p>
        </w:tc>
        <w:tc>
          <w:tcPr>
            <w:tcW w:type="dxa" w:w="12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RMSE</w:t>
            </w:r>
          </w:p>
        </w:tc>
        <w:tc>
          <w:tcPr>
            <w:tcW w:type="dxa" w:w="12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MAE</w:t>
            </w:r>
          </w:p>
        </w:tc>
        <w:tc>
          <w:tcPr>
            <w:tcW w:type="dxa" w:w="10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MAPE</w:t>
            </w:r>
          </w:p>
        </w:tc>
        <w:tc>
          <w:tcPr>
            <w:tcW w:type="dxa" w:w="18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Accuracy</w:t>
            </w:r>
          </w:p>
        </w:tc>
      </w:tr>
      <w:tr>
        <w:tc>
          <w:tcPr>
            <w:tcW w:type="dxa" w:w="22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Water Demand</w:t>
            </w:r>
          </w:p>
        </w:tc>
        <w:tc>
          <w:tcPr>
            <w:tcW w:type="dxa" w:w="19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Prophet</w:t>
            </w:r>
          </w:p>
        </w:tc>
        <w:tc>
          <w:tcPr>
            <w:tcW w:type="dxa" w:w="12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12.4 MGD</w:t>
            </w:r>
          </w:p>
        </w:tc>
        <w:tc>
          <w:tcPr>
            <w:tcW w:type="dxa" w:w="12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9.1 MGD</w:t>
            </w:r>
          </w:p>
        </w:tc>
        <w:tc>
          <w:tcPr>
            <w:tcW w:type="dxa" w:w="1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3.8%</w:t>
            </w:r>
          </w:p>
        </w:tc>
        <w:tc>
          <w:tcPr>
            <w:tcW w:type="dxa" w:w="18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96.2%</w:t>
            </w:r>
          </w:p>
        </w:tc>
      </w:tr>
      <w:tr>
        <w:tc>
          <w:tcPr>
            <w:tcW w:type="dxa" w:w="22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Energy Demand</w:t>
            </w:r>
          </w:p>
        </w:tc>
        <w:tc>
          <w:tcPr>
            <w:tcW w:type="dxa" w:w="19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XGBoost</w:t>
            </w:r>
          </w:p>
        </w:tc>
        <w:tc>
          <w:tcPr>
            <w:tcW w:type="dxa" w:w="12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84.7 MW</w:t>
            </w:r>
          </w:p>
        </w:tc>
        <w:tc>
          <w:tcPr>
            <w:tcW w:type="dxa" w:w="12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61.3 MW</w:t>
            </w:r>
          </w:p>
        </w:tc>
        <w:tc>
          <w:tcPr>
            <w:tcW w:type="dxa" w:w="1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4.2%</w:t>
            </w:r>
          </w:p>
        </w:tc>
        <w:tc>
          <w:tcPr>
            <w:tcW w:type="dxa" w:w="18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95.8%</w:t>
            </w:r>
          </w:p>
        </w:tc>
      </w:tr>
      <w:tr>
        <w:tc>
          <w:tcPr>
            <w:tcW w:type="dxa" w:w="22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Waste Generation</w:t>
            </w:r>
          </w:p>
        </w:tc>
        <w:tc>
          <w:tcPr>
            <w:tcW w:type="dxa" w:w="19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Random Forest</w:t>
            </w:r>
          </w:p>
        </w:tc>
        <w:tc>
          <w:tcPr>
            <w:tcW w:type="dxa" w:w="12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112 t/day</w:t>
            </w:r>
          </w:p>
        </w:tc>
        <w:tc>
          <w:tcPr>
            <w:tcW w:type="dxa" w:w="12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87 t/day</w:t>
            </w:r>
          </w:p>
        </w:tc>
        <w:tc>
          <w:tcPr>
            <w:tcW w:type="dxa" w:w="1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5.6%</w:t>
            </w:r>
          </w:p>
        </w:tc>
        <w:tc>
          <w:tcPr>
            <w:tcW w:type="dxa" w:w="18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94.4%</w:t>
            </w:r>
          </w:p>
        </w:tc>
      </w:tr>
      <w:tr>
        <w:tc>
          <w:tcPr>
            <w:tcW w:type="dxa" w:w="22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Carbon Emissions</w:t>
            </w:r>
          </w:p>
        </w:tc>
        <w:tc>
          <w:tcPr>
            <w:tcW w:type="dxa" w:w="19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Ridge Regression</w:t>
            </w:r>
          </w:p>
        </w:tc>
        <w:tc>
          <w:tcPr>
            <w:tcW w:type="dxa" w:w="12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0.41 MtCO₂e</w:t>
            </w:r>
          </w:p>
        </w:tc>
        <w:tc>
          <w:tcPr>
            <w:tcW w:type="dxa" w:w="12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0.32 MtCO₂e</w:t>
            </w:r>
          </w:p>
        </w:tc>
        <w:tc>
          <w:tcPr>
            <w:tcW w:type="dxa" w:w="1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5.1%</w:t>
            </w:r>
          </w:p>
        </w:tc>
        <w:tc>
          <w:tcPr>
            <w:tcW w:type="dxa" w:w="18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94.9%</w:t>
            </w:r>
          </w:p>
        </w:tc>
      </w:tr>
    </w:tbl>
    <w:p>
      <w:pPr>
        <w:spacing w:after="120" w:before="0" w:line="300"/>
        <w:jc w:val="both"/>
      </w:pPr>
      <w:r>
        <w:rPr>
          <w:rFonts w:ascii="Calibri" w:cs="Calibri" w:eastAsia="Calibri" w:hAnsi="Calibri"/>
          <w:b w:val="false"/>
          <w:bCs w:val="false"/>
          <w:i w:val="false"/>
          <w:iCs w:val="false"/>
          <w:sz w:val="22"/>
          <w:szCs w:val="22"/>
        </w:rPr>
        <w:t xml:space="preserve">All four models report mean absolute percentage errors below six percent, which is within the tolerance typically accepted for municipal planning horizons. Prophet achieves the lowest MAPE because water demand in Delhi is strongly seasonal and trend dominated, which matches the model’s inductive bias. XGBoost performs strongly on energy because of its ability to capture non linear temperature and occupancy interactions. Random Forest absorbs the noisier, zone level waste data without overfitting, and Ridge Regression provides a stable, regularised estimate for carbon where the input dimensionality is modest. Taken together, these results establish that the forecasting layer of InfraVision is statistically reliable for the planning horizons considered in this study.</w:t>
      </w:r>
    </w:p>
    <w:p>
      <w:pPr>
        <w:pStyle w:val="Heading2"/>
        <w:spacing w:after="140" w:before="280"/>
      </w:pPr>
      <w:r>
        <w:rPr>
          <w:rFonts w:ascii="Calibri" w:cs="Calibri" w:eastAsia="Calibri" w:hAnsi="Calibri"/>
          <w:b/>
          <w:bCs/>
          <w:color w:val="2E74B5"/>
          <w:sz w:val="26"/>
          <w:szCs w:val="26"/>
        </w:rPr>
        <w:t xml:space="preserve">6.3 Simulation Validation</w:t>
      </w:r>
    </w:p>
    <w:p>
      <w:pPr>
        <w:spacing w:after="120" w:before="0" w:line="300"/>
        <w:jc w:val="both"/>
      </w:pPr>
      <w:r>
        <w:rPr>
          <w:rFonts w:ascii="Calibri" w:cs="Calibri" w:eastAsia="Calibri" w:hAnsi="Calibri"/>
          <w:b w:val="false"/>
          <w:bCs w:val="false"/>
          <w:i w:val="false"/>
          <w:iCs w:val="false"/>
          <w:sz w:val="22"/>
          <w:szCs w:val="22"/>
        </w:rPr>
        <w:t xml:space="preserve">Beyond point forecasting accuracy, the simulation layer must produce policy outcomes that are directionally consistent with established urban planning theory and with observed responses in comparable cities. Three policy scenarios were simulated and their outcomes compared with expected real world trends derived from peer reviewed case studies of Singapore, Seoul, and Amsterdam.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2600"/>
        <w:gridCol w:w="1600"/>
      </w:tblGrid>
      <w:tr>
        <w:trPr>
          <w:tblHeader/>
        </w:trPr>
        <w:tc>
          <w:tcPr>
            <w:tcW w:type="dxa" w:w="26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Simulated Policy</w:t>
            </w:r>
          </w:p>
        </w:tc>
        <w:tc>
          <w:tcPr>
            <w:tcW w:type="dxa" w:w="256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Simulated Outcome</w:t>
            </w:r>
          </w:p>
        </w:tc>
        <w:tc>
          <w:tcPr>
            <w:tcW w:type="dxa" w:w="26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Expected Real World Trend</w:t>
            </w:r>
          </w:p>
        </w:tc>
        <w:tc>
          <w:tcPr>
            <w:tcW w:type="dxa" w:w="16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Consistency</w:t>
            </w:r>
          </w:p>
        </w:tc>
      </w:tr>
      <w:tr>
        <w:tc>
          <w:tcPr>
            <w:tcW w:type="dxa" w:w="2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Waste-to-Energy Expansion</w:t>
            </w:r>
          </w:p>
        </w:tc>
        <w:tc>
          <w:tcPr>
            <w:tcW w:type="dxa" w:w="25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+14% processing, −2.1 MtCO₂e</w:t>
            </w:r>
          </w:p>
        </w:tc>
        <w:tc>
          <w:tcPr>
            <w:tcW w:type="dxa" w:w="2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Moderate emission reduction, processing uplift</w:t>
            </w:r>
          </w:p>
        </w:tc>
        <w:tc>
          <w:tcPr>
            <w:tcW w:type="dxa" w:w="1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Consistent</w:t>
            </w:r>
          </w:p>
        </w:tc>
      </w:tr>
      <w:tr>
        <w:tc>
          <w:tcPr>
            <w:tcW w:type="dxa" w:w="2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Non-Revenue Water Reduction</w:t>
            </w:r>
          </w:p>
        </w:tc>
        <w:tc>
          <w:tcPr>
            <w:tcW w:type="dxa" w:w="25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−118 MGD supply gap</w:t>
            </w:r>
          </w:p>
        </w:tc>
        <w:tc>
          <w:tcPr>
            <w:tcW w:type="dxa" w:w="2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Significant deficit reduction within 5 years</w:t>
            </w:r>
          </w:p>
        </w:tc>
        <w:tc>
          <w:tcPr>
            <w:tcW w:type="dxa" w:w="1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Consistent</w:t>
            </w:r>
          </w:p>
        </w:tc>
      </w:tr>
      <w:tr>
        <w:tc>
          <w:tcPr>
            <w:tcW w:type="dxa" w:w="2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EV Fleet Transition (40%)</w:t>
            </w:r>
          </w:p>
        </w:tc>
        <w:tc>
          <w:tcPr>
            <w:tcW w:type="dxa" w:w="25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−3.4 MtCO₂e, +6% grid load</w:t>
            </w:r>
          </w:p>
        </w:tc>
        <w:tc>
          <w:tcPr>
            <w:tcW w:type="dxa" w:w="2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Emission fall, measurable grid stress</w:t>
            </w:r>
          </w:p>
        </w:tc>
        <w:tc>
          <w:tcPr>
            <w:tcW w:type="dxa" w:w="1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Consistent</w:t>
            </w:r>
          </w:p>
        </w:tc>
      </w:tr>
      <w:tr>
        <w:tc>
          <w:tcPr>
            <w:tcW w:type="dxa" w:w="2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Rooftop Solar Incentive</w:t>
            </w:r>
          </w:p>
        </w:tc>
        <w:tc>
          <w:tcPr>
            <w:tcW w:type="dxa" w:w="25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−1.8 MtCO₂e, +2.1 pts score</w:t>
            </w:r>
          </w:p>
        </w:tc>
        <w:tc>
          <w:tcPr>
            <w:tcW w:type="dxa" w:w="2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Gradual emission decline, score uplift</w:t>
            </w:r>
          </w:p>
        </w:tc>
        <w:tc>
          <w:tcPr>
            <w:tcW w:type="dxa" w:w="1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Consistent</w:t>
            </w:r>
          </w:p>
        </w:tc>
      </w:tr>
    </w:tbl>
    <w:p>
      <w:pPr>
        <w:spacing w:after="120" w:before="0" w:line="300"/>
        <w:jc w:val="both"/>
      </w:pPr>
      <w:r>
        <w:rPr>
          <w:rFonts w:ascii="Calibri" w:cs="Calibri" w:eastAsia="Calibri" w:hAnsi="Calibri"/>
          <w:b w:val="false"/>
          <w:bCs w:val="false"/>
          <w:i w:val="false"/>
          <w:iCs w:val="false"/>
          <w:sz w:val="22"/>
          <w:szCs w:val="22"/>
        </w:rPr>
        <w:t xml:space="preserve">Every simulated policy moves the target indicators in the direction predicted by the international evidence base and by the urban metabolism literature. No scenario produces paradoxical results such as emission reduction without associated energy substitution or water gap closure without distribution loss reduction. The simulation layer therefore satisfies the minimum criterion of directional plausibility in addition to the numerical accuracy established in Section 6.2.</w:t>
      </w:r>
    </w:p>
    <w:p>
      <w:pPr>
        <w:pStyle w:val="Heading2"/>
        <w:spacing w:after="140" w:before="280"/>
      </w:pPr>
      <w:r>
        <w:rPr>
          <w:rFonts w:ascii="Calibri" w:cs="Calibri" w:eastAsia="Calibri" w:hAnsi="Calibri"/>
          <w:b/>
          <w:bCs/>
          <w:color w:val="2E74B5"/>
          <w:sz w:val="26"/>
          <w:szCs w:val="26"/>
        </w:rPr>
        <w:t xml:space="preserve">6.4 Sensitivity Analysis</w:t>
      </w:r>
    </w:p>
    <w:p>
      <w:pPr>
        <w:spacing w:after="120" w:before="0" w:line="300"/>
        <w:jc w:val="both"/>
      </w:pPr>
      <w:r>
        <w:rPr>
          <w:rFonts w:ascii="Calibri" w:cs="Calibri" w:eastAsia="Calibri" w:hAnsi="Calibri"/>
          <w:b w:val="false"/>
          <w:bCs w:val="false"/>
          <w:i w:val="false"/>
          <w:iCs w:val="false"/>
          <w:sz w:val="22"/>
          <w:szCs w:val="22"/>
        </w:rPr>
        <w:t xml:space="preserve">Sensitivity analysis quantifies how strongly the output of the twin responds to perturbation of its most uncertain inputs. Three drivers were perturbed across a ±10% range in 2% increments while all other parameters were held fixed: projected population, per capita water demand, and per capita energy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Perturbed Input</w:t>
            </w:r>
          </w:p>
        </w:tc>
        <w:tc>
          <w:tcPr>
            <w:tcW w:type="dxa" w:w="20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−5% Response</w:t>
            </w:r>
          </w:p>
        </w:tc>
        <w:tc>
          <w:tcPr>
            <w:tcW w:type="dxa" w:w="20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+5% Response</w:t>
            </w:r>
          </w:p>
        </w:tc>
        <w:tc>
          <w:tcPr>
            <w:tcW w:type="dxa" w:w="276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Output Elasticity</w:t>
            </w:r>
          </w:p>
        </w:tc>
      </w:tr>
      <w:tr>
        <w:tc>
          <w:tcPr>
            <w:tcW w:type="dxa" w:w="2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Population Projection</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Water gap −4.7%</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Water gap +4.9%</w:t>
            </w:r>
          </w:p>
        </w:tc>
        <w:tc>
          <w:tcPr>
            <w:tcW w:type="dxa" w:w="27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0.96</w:t>
            </w:r>
          </w:p>
        </w:tc>
      </w:tr>
      <w:tr>
        <w:tc>
          <w:tcPr>
            <w:tcW w:type="dxa" w:w="2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Per capita Water Demand</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Water gap −5.1%</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Water gap +5.2%</w:t>
            </w:r>
          </w:p>
        </w:tc>
        <w:tc>
          <w:tcPr>
            <w:tcW w:type="dxa" w:w="27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1.03</w:t>
            </w:r>
          </w:p>
        </w:tc>
      </w:tr>
      <w:tr>
        <w:tc>
          <w:tcPr>
            <w:tcW w:type="dxa" w:w="2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Per capita Energy Demand</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GHG emissions −3.6%</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GHG emissions +3.7%</w:t>
            </w:r>
          </w:p>
        </w:tc>
        <w:tc>
          <w:tcPr>
            <w:tcW w:type="dxa" w:w="27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0.74</w:t>
            </w:r>
          </w:p>
        </w:tc>
      </w:tr>
      <w:tr>
        <w:tc>
          <w:tcPr>
            <w:tcW w:type="dxa" w:w="2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Waste Generation Rate</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Processing efficiency +1.1%</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Processing efficiency −1.2%</w:t>
            </w:r>
          </w:p>
        </w:tc>
        <w:tc>
          <w:tcPr>
            <w:tcW w:type="dxa" w:w="27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0.24</w:t>
            </w:r>
          </w:p>
        </w:tc>
      </w:tr>
    </w:tbl>
    <w:p>
      <w:pPr>
        <w:spacing w:after="120" w:before="0" w:line="300"/>
        <w:jc w:val="both"/>
      </w:pPr>
      <w:r>
        <w:rPr>
          <w:rFonts w:ascii="Calibri" w:cs="Calibri" w:eastAsia="Calibri" w:hAnsi="Calibri"/>
          <w:b w:val="false"/>
          <w:bCs w:val="false"/>
          <w:i w:val="false"/>
          <w:iCs w:val="false"/>
          <w:sz w:val="22"/>
          <w:szCs w:val="22"/>
        </w:rPr>
        <w:t xml:space="preserve">Output elasticities lie close to unity for water related drivers and clearly below unity for waste processing, which is stabilised by the installed plant capacity. Crucially, no input perturbation within the tested range produces a sign reversal of the headline indicators. This establishes that the framework is robust: small errors in demographic or demand inputs propagate proportionally and do not produce qualitatively misleading recommendations.</w:t>
      </w:r>
    </w:p>
    <w:p>
      <w:pPr>
        <w:pStyle w:val="Heading2"/>
        <w:spacing w:after="140" w:before="280"/>
      </w:pPr>
      <w:r>
        <w:rPr>
          <w:rFonts w:ascii="Calibri" w:cs="Calibri" w:eastAsia="Calibri" w:hAnsi="Calibri"/>
          <w:b/>
          <w:bCs/>
          <w:color w:val="2E74B5"/>
          <w:sz w:val="26"/>
          <w:szCs w:val="26"/>
        </w:rPr>
        <w:t xml:space="preserve">6.5 Benchmark Comparison with Traditional Urban Planning</w:t>
      </w:r>
    </w:p>
    <w:p>
      <w:pPr>
        <w:spacing w:after="120" w:before="0" w:line="300"/>
        <w:jc w:val="both"/>
      </w:pPr>
      <w:r>
        <w:rPr>
          <w:rFonts w:ascii="Calibri" w:cs="Calibri" w:eastAsia="Calibri" w:hAnsi="Calibri"/>
          <w:b w:val="false"/>
          <w:bCs w:val="false"/>
          <w:i w:val="false"/>
          <w:iCs w:val="false"/>
          <w:sz w:val="22"/>
          <w:szCs w:val="22"/>
        </w:rPr>
        <w:t xml:space="preserve">To contextualise the improvement offered by InfraVision, its decision quality was compared against a traditional planning workflow based on annual static reports, domain siloed spreadsheets, and heuristic policy selection. A panel of three urban planners independently ranked the same set of candidate policies using the traditional workflow, and their rankings were compared with those generated by the InfraVision optimisation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2400"/>
        <w:gridCol w:w="2000"/>
      </w:tblGrid>
      <w:tr>
        <w:trPr>
          <w:tblHeader/>
        </w:trPr>
        <w:tc>
          <w:tcPr>
            <w:tcW w:type="dxa" w:w="26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Dimension</w:t>
            </w:r>
          </w:p>
        </w:tc>
        <w:tc>
          <w:tcPr>
            <w:tcW w:type="dxa" w:w="236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Traditional Approach</w:t>
            </w:r>
          </w:p>
        </w:tc>
        <w:tc>
          <w:tcPr>
            <w:tcW w:type="dxa" w:w="24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InfraVision Framework</w:t>
            </w:r>
          </w:p>
        </w:tc>
        <w:tc>
          <w:tcPr>
            <w:tcW w:type="dxa" w:w="2000"/>
            <w:tcBorders>
              <w:top w:val="single" w:color="B0B7BF" w:sz="4"/>
              <w:left w:val="single" w:color="B0B7BF" w:sz="4"/>
              <w:bottom w:val="single" w:color="B0B7BF" w:sz="4"/>
              <w:right w:val="single" w:color="B0B7BF" w:sz="4"/>
            </w:tcBorders>
            <w:shd w:fill="1F3864" w:val="clear"/>
            <w:tcMar>
              <w:top w:type="dxa" w:w="90"/>
              <w:left w:type="dxa" w:w="140"/>
              <w:bottom w:type="dxa" w:w="90"/>
              <w:right w:type="dxa" w:w="140"/>
            </w:tcMar>
            <w:vAlign w:val="center"/>
          </w:tcPr>
          <w:p>
            <w:pPr>
              <w:spacing w:after="0" w:line="260"/>
              <w:jc w:val="center"/>
            </w:pPr>
            <w:r>
              <w:rPr>
                <w:rFonts w:ascii="Calibri" w:cs="Calibri" w:eastAsia="Calibri" w:hAnsi="Calibri"/>
                <w:b/>
                <w:bCs/>
                <w:color w:val="FFFFFF"/>
                <w:sz w:val="21"/>
                <w:szCs w:val="21"/>
              </w:rPr>
              <w:t xml:space="preserve">Improvement</w:t>
            </w:r>
          </w:p>
        </w:tc>
      </w:tr>
      <w:tr>
        <w:tc>
          <w:tcPr>
            <w:tcW w:type="dxa" w:w="2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Decision cycle time</w:t>
            </w:r>
          </w:p>
        </w:tc>
        <w:tc>
          <w:tcPr>
            <w:tcW w:type="dxa" w:w="23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6 to 8 weeks</w:t>
            </w:r>
          </w:p>
        </w:tc>
        <w:tc>
          <w:tcPr>
            <w:tcW w:type="dxa" w:w="24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Under 2 hours</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&gt; 95% reduction</w:t>
            </w:r>
          </w:p>
        </w:tc>
      </w:tr>
      <w:tr>
        <w:tc>
          <w:tcPr>
            <w:tcW w:type="dxa" w:w="2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Domains considered jointly</w:t>
            </w:r>
          </w:p>
        </w:tc>
        <w:tc>
          <w:tcPr>
            <w:tcW w:type="dxa" w:w="23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1 to 2</w:t>
            </w:r>
          </w:p>
        </w:tc>
        <w:tc>
          <w:tcPr>
            <w:tcW w:type="dxa" w:w="24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4 (W, E, Wst, C)</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2× to 4× coverage</w:t>
            </w:r>
          </w:p>
        </w:tc>
      </w:tr>
      <w:tr>
        <w:tc>
          <w:tcPr>
            <w:tcW w:type="dxa" w:w="2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Policy ranking basis</w:t>
            </w:r>
          </w:p>
        </w:tc>
        <w:tc>
          <w:tcPr>
            <w:tcW w:type="dxa" w:w="23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Heuristic / experience</w:t>
            </w:r>
          </w:p>
        </w:tc>
        <w:tc>
          <w:tcPr>
            <w:tcW w:type="dxa" w:w="24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Constraint based LP</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Auditable</w:t>
            </w:r>
          </w:p>
        </w:tc>
      </w:tr>
      <w:tr>
        <w:tc>
          <w:tcPr>
            <w:tcW w:type="dxa" w:w="2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Explainability of output</w:t>
            </w:r>
          </w:p>
        </w:tc>
        <w:tc>
          <w:tcPr>
            <w:tcW w:type="dxa" w:w="23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Qualitative</w:t>
            </w:r>
          </w:p>
        </w:tc>
        <w:tc>
          <w:tcPr>
            <w:tcW w:type="dxa" w:w="24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SHAP attributions</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Quantitative</w:t>
            </w:r>
          </w:p>
        </w:tc>
      </w:tr>
      <w:tr>
        <w:tc>
          <w:tcPr>
            <w:tcW w:type="dxa" w:w="26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Cascade risk detection</w:t>
            </w:r>
          </w:p>
        </w:tc>
        <w:tc>
          <w:tcPr>
            <w:tcW w:type="dxa" w:w="236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Not performed</w:t>
            </w:r>
          </w:p>
        </w:tc>
        <w:tc>
          <w:tcPr>
            <w:tcW w:type="dxa" w:w="24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Graph criticality score</w:t>
            </w:r>
          </w:p>
        </w:tc>
        <w:tc>
          <w:tcPr>
            <w:tcW w:type="dxa" w:w="2000"/>
            <w:tcBorders>
              <w:top w:val="single" w:color="B0B7BF" w:sz="4"/>
              <w:left w:val="single" w:color="B0B7BF" w:sz="4"/>
              <w:bottom w:val="single" w:color="B0B7BF" w:sz="4"/>
              <w:right w:val="single" w:color="B0B7BF" w:sz="4"/>
            </w:tcBorders>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Newly enabled</w:t>
            </w:r>
          </w:p>
        </w:tc>
      </w:tr>
      <w:tr>
        <w:tc>
          <w:tcPr>
            <w:tcW w:type="dxa" w:w="26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left"/>
            </w:pPr>
            <w:r>
              <w:rPr>
                <w:rFonts w:ascii="Calibri" w:cs="Calibri" w:eastAsia="Calibri" w:hAnsi="Calibri"/>
                <w:sz w:val="21"/>
                <w:szCs w:val="21"/>
              </w:rPr>
              <w:t xml:space="preserve">Composite score lift</w:t>
            </w:r>
          </w:p>
        </w:tc>
        <w:tc>
          <w:tcPr>
            <w:tcW w:type="dxa" w:w="236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+1.4 pts (observed)</w:t>
            </w:r>
          </w:p>
        </w:tc>
        <w:tc>
          <w:tcPr>
            <w:tcW w:type="dxa" w:w="24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+5.08 pts (optimised)</w:t>
            </w:r>
          </w:p>
        </w:tc>
        <w:tc>
          <w:tcPr>
            <w:tcW w:type="dxa" w:w="2000"/>
            <w:tcBorders>
              <w:top w:val="single" w:color="B0B7BF" w:sz="4"/>
              <w:left w:val="single" w:color="B0B7BF" w:sz="4"/>
              <w:bottom w:val="single" w:color="B0B7BF" w:sz="4"/>
              <w:right w:val="single" w:color="B0B7BF" w:sz="4"/>
            </w:tcBorders>
            <w:shd w:fill="F2F5F9" w:val="clear"/>
            <w:tcMar>
              <w:top w:type="dxa" w:w="90"/>
              <w:left w:type="dxa" w:w="140"/>
              <w:bottom w:type="dxa" w:w="90"/>
              <w:right w:type="dxa" w:w="140"/>
            </w:tcMar>
            <w:vAlign w:val="center"/>
          </w:tcPr>
          <w:p>
            <w:pPr>
              <w:spacing w:after="0" w:line="260"/>
              <w:jc w:val="center"/>
            </w:pPr>
            <w:r>
              <w:rPr>
                <w:rFonts w:ascii="Calibri" w:cs="Calibri" w:eastAsia="Calibri" w:hAnsi="Calibri"/>
                <w:sz w:val="21"/>
                <w:szCs w:val="21"/>
              </w:rPr>
              <w:t xml:space="preserve">+3.6 pts</w:t>
            </w:r>
          </w:p>
        </w:tc>
      </w:tr>
    </w:tbl>
    <w:p>
      <w:pPr>
        <w:spacing w:after="120" w:before="0" w:line="300"/>
        <w:jc w:val="both"/>
      </w:pPr>
      <w:r>
        <w:rPr>
          <w:rFonts w:ascii="Calibri" w:cs="Calibri" w:eastAsia="Calibri" w:hAnsi="Calibri"/>
          <w:b w:val="false"/>
          <w:bCs w:val="false"/>
          <w:i w:val="false"/>
          <w:iCs w:val="false"/>
          <w:sz w:val="22"/>
          <w:szCs w:val="22"/>
        </w:rPr>
        <w:t xml:space="preserve">The comparison shows that the gains are not limited to faster computation. The framework enables joint reasoning across four domains, produces auditable constraint based rankings rather than heuristic ones, surfaces cascade risk that the traditional workflow does not examine at all, and delivers a composite sustainability lift roughly 3.6 points higher than the observed baseline under comparable budget assumptions.</w:t>
      </w:r>
    </w:p>
    <w:p>
      <w:pPr>
        <w:pStyle w:val="Heading2"/>
        <w:spacing w:after="140" w:before="280"/>
      </w:pPr>
      <w:r>
        <w:rPr>
          <w:rFonts w:ascii="Calibri" w:cs="Calibri" w:eastAsia="Calibri" w:hAnsi="Calibri"/>
          <w:b/>
          <w:bCs/>
          <w:color w:val="2E74B5"/>
          <w:sz w:val="26"/>
          <w:szCs w:val="26"/>
        </w:rPr>
        <w:t xml:space="preserve">6.6 Result Summary</w:t>
      </w:r>
    </w:p>
    <w:p>
      <w:pPr>
        <w:spacing w:after="120" w:before="0" w:line="300"/>
        <w:jc w:val="both"/>
      </w:pPr>
      <w:r>
        <w:rPr>
          <w:rFonts w:ascii="Calibri" w:cs="Calibri" w:eastAsia="Calibri" w:hAnsi="Calibri"/>
          <w:b w:val="false"/>
          <w:bCs w:val="false"/>
          <w:i w:val="false"/>
          <w:iCs w:val="false"/>
          <w:sz w:val="22"/>
          <w:szCs w:val="22"/>
        </w:rPr>
        <w:t xml:space="preserve">The evaluation evidence converges on a single conclusion. The forecasting layer is accurate, with domain level mean absolute percentage errors between 3.8% and 5.6%. The simulation layer is directionally consistent with the international urban sustainability evidence base. The system is robust to realistic perturbations of demographic and demand inputs, with output elasticities that remain proportional and sign stable. Against a traditional planning workflow, the framework delivers materially better coverage, auditability, and composite sustainability lift.</w:t>
      </w:r>
    </w:p>
    <w:p>
      <w:pPr>
        <w:spacing w:after="120" w:before="0" w:line="300"/>
        <w:jc w:val="both"/>
      </w:pPr>
      <w:r>
        <w:rPr>
          <w:rFonts w:ascii="Calibri" w:cs="Calibri" w:eastAsia="Calibri" w:hAnsi="Calibri"/>
          <w:b w:val="false"/>
          <w:bCs w:val="false"/>
          <w:i w:val="false"/>
          <w:iCs w:val="false"/>
          <w:sz w:val="22"/>
          <w:szCs w:val="22"/>
        </w:rPr>
        <w:t xml:space="preserve">Collectively these results demonstrate that the InfraVision Digital Twin is not only technically sound but decision useful: it produces intelligence that a municipal planner can act on with quantified confidence.</w:t>
      </w:r>
    </w:p>
    <w:p>
      <w:r>
        <w:br w:type="page"/>
      </w:r>
    </w:p>
    <w:p>
      <w:pPr>
        <w:pStyle w:val="Heading1"/>
        <w:spacing w:after="180" w:before="360"/>
      </w:pPr>
      <w:r>
        <w:rPr>
          <w:rFonts w:ascii="Calibri" w:cs="Calibri" w:eastAsia="Calibri" w:hAnsi="Calibri"/>
          <w:b/>
          <w:bCs/>
          <w:color w:val="1F3864"/>
          <w:sz w:val="32"/>
          <w:szCs w:val="32"/>
        </w:rPr>
        <w:t xml:space="preserve">7. Novelty and Contribution</w:t>
      </w:r>
    </w:p>
    <w:p>
      <w:pPr>
        <w:spacing w:after="120" w:before="0" w:line="300"/>
        <w:jc w:val="both"/>
      </w:pPr>
      <w:r>
        <w:rPr>
          <w:rFonts w:ascii="Calibri" w:cs="Calibri" w:eastAsia="Calibri" w:hAnsi="Calibri"/>
          <w:b w:val="false"/>
          <w:bCs w:val="false"/>
          <w:i w:val="false"/>
          <w:iCs w:val="false"/>
          <w:sz w:val="22"/>
          <w:szCs w:val="22"/>
        </w:rPr>
        <w:t xml:space="preserve">Relative to the existing literature this work contributes the following:</w:t>
      </w:r>
    </w:p>
    <w:p>
      <w:pPr>
        <w:pStyle w:val="ListParagraph"/>
        <w:numPr>
          <w:ilvl w:val="0"/>
          <w:numId w:val="3"/>
        </w:numPr>
        <w:spacing w:after="80" w:line="290"/>
      </w:pPr>
      <w:r>
        <w:rPr>
          <w:rFonts w:ascii="Calibri" w:cs="Calibri" w:eastAsia="Calibri" w:hAnsi="Calibri"/>
          <w:sz w:val="22"/>
          <w:szCs w:val="22"/>
        </w:rPr>
        <w:t xml:space="preserve">An integrated multi domain Digital Twin that jointly models water, energy, waste, and carbon on the same graph.</w:t>
      </w:r>
    </w:p>
    <w:p>
      <w:pPr>
        <w:pStyle w:val="ListParagraph"/>
        <w:numPr>
          <w:ilvl w:val="0"/>
          <w:numId w:val="3"/>
        </w:numPr>
        <w:spacing w:after="80" w:line="290"/>
      </w:pPr>
      <w:r>
        <w:rPr>
          <w:rFonts w:ascii="Calibri" w:cs="Calibri" w:eastAsia="Calibri" w:hAnsi="Calibri"/>
          <w:sz w:val="22"/>
          <w:szCs w:val="22"/>
        </w:rPr>
        <w:t xml:space="preserve">An optimisation layer that converts sustainability planning from a heuristic exercise into a constraint based linear programme.</w:t>
      </w:r>
    </w:p>
    <w:p>
      <w:pPr>
        <w:pStyle w:val="ListParagraph"/>
        <w:numPr>
          <w:ilvl w:val="0"/>
          <w:numId w:val="3"/>
        </w:numPr>
        <w:spacing w:after="80" w:line="290"/>
      </w:pPr>
      <w:r>
        <w:rPr>
          <w:rFonts w:ascii="Calibri" w:cs="Calibri" w:eastAsia="Calibri" w:hAnsi="Calibri"/>
          <w:sz w:val="22"/>
          <w:szCs w:val="22"/>
        </w:rPr>
        <w:t xml:space="preserve">An explainability layer based on SHAP attributions that makes the contribution of each driver transparent to planners.</w:t>
      </w:r>
    </w:p>
    <w:p>
      <w:pPr>
        <w:pStyle w:val="ListParagraph"/>
        <w:numPr>
          <w:ilvl w:val="0"/>
          <w:numId w:val="3"/>
        </w:numPr>
        <w:spacing w:after="80" w:line="290"/>
      </w:pPr>
      <w:r>
        <w:rPr>
          <w:rFonts w:ascii="Calibri" w:cs="Calibri" w:eastAsia="Calibri" w:hAnsi="Calibri"/>
          <w:sz w:val="22"/>
          <w:szCs w:val="22"/>
        </w:rPr>
        <w:t xml:space="preserve">A real time simulation and forecasting loop that allows predictive rather than reactive urban intelligence.</w:t>
      </w:r>
    </w:p>
    <w:p>
      <w:pPr>
        <w:pStyle w:val="ListParagraph"/>
        <w:numPr>
          <w:ilvl w:val="0"/>
          <w:numId w:val="3"/>
        </w:numPr>
        <w:spacing w:after="80" w:line="290"/>
      </w:pPr>
      <w:r>
        <w:rPr>
          <w:rFonts w:ascii="Calibri" w:cs="Calibri" w:eastAsia="Calibri" w:hAnsi="Calibri"/>
          <w:sz w:val="22"/>
          <w:szCs w:val="22"/>
        </w:rPr>
        <w:t xml:space="preserve">An independent validation protocol covering statistical accuracy, simulation plausibility, sensitivity, and benchmark comparison.</w:t>
      </w:r>
    </w:p>
    <w:p>
      <w:pPr>
        <w:pStyle w:val="Heading1"/>
        <w:spacing w:after="180" w:before="360"/>
      </w:pPr>
      <w:r>
        <w:rPr>
          <w:rFonts w:ascii="Calibri" w:cs="Calibri" w:eastAsia="Calibri" w:hAnsi="Calibri"/>
          <w:b/>
          <w:bCs/>
          <w:color w:val="1F3864"/>
          <w:sz w:val="32"/>
          <w:szCs w:val="32"/>
        </w:rPr>
        <w:t xml:space="preserve">8. Discussion</w:t>
      </w:r>
    </w:p>
    <w:p>
      <w:pPr>
        <w:spacing w:after="120" w:before="0" w:line="300"/>
        <w:jc w:val="both"/>
      </w:pPr>
      <w:r>
        <w:rPr>
          <w:rFonts w:ascii="Calibri" w:cs="Calibri" w:eastAsia="Calibri" w:hAnsi="Calibri"/>
          <w:b w:val="false"/>
          <w:bCs w:val="false"/>
          <w:i w:val="false"/>
          <w:iCs w:val="false"/>
          <w:sz w:val="22"/>
          <w:szCs w:val="22"/>
        </w:rPr>
        <w:t xml:space="preserve">Two results from the baseline projections deserve specific commentary. First, the water gap continues to widen despite existing policy commitments, confirming that distribution losses and demand growth are outpacing supply augmentation. Second, greenhouse gas emissions continue to rise even as waste processing improves, indicating that the energy and transport domains dominate the emission profile and cannot be offset by waste sector gains alone. The practical implication is that sustainable outcomes require a water first and carbon first policy ordering, supported by the optimisation layer rather than by intuition alone.</w:t>
      </w:r>
    </w:p>
    <w:p>
      <w:pPr>
        <w:pStyle w:val="Heading1"/>
        <w:spacing w:after="180" w:before="360"/>
      </w:pPr>
      <w:r>
        <w:rPr>
          <w:rFonts w:ascii="Calibri" w:cs="Calibri" w:eastAsia="Calibri" w:hAnsi="Calibri"/>
          <w:b/>
          <w:bCs/>
          <w:color w:val="1F3864"/>
          <w:sz w:val="32"/>
          <w:szCs w:val="32"/>
        </w:rPr>
        <w:t xml:space="preserve">9. Conclusion</w:t>
      </w:r>
    </w:p>
    <w:p>
      <w:pPr>
        <w:spacing w:after="120" w:before="0" w:line="300"/>
        <w:jc w:val="both"/>
      </w:pPr>
      <w:r>
        <w:rPr>
          <w:rFonts w:ascii="Calibri" w:cs="Calibri" w:eastAsia="Calibri" w:hAnsi="Calibri"/>
          <w:b w:val="false"/>
          <w:bCs w:val="false"/>
          <w:i w:val="false"/>
          <w:iCs w:val="false"/>
          <w:sz w:val="22"/>
          <w:szCs w:val="22"/>
        </w:rPr>
        <w:t xml:space="preserve">This paper has presented InfraVision, a Digital Twin enabled sustainability intelligence framework for smart cities, and evaluated it on the case of Delhi. The system integrates graph based infrastructure modelling, multi model machine learning forecasting, constraint based optimisation, and explainable decision support. Empirical results quantify both the stresses the city faces and the impact of optimised policy intervention, while the dedicated validation stage confirms that the forecasts are accurate, the simulations are plausible, the system is robust to realistic input perturbations, and the decision quality materially exceeds that of the traditional planning workflow.</w:t>
      </w:r>
    </w:p>
    <w:p>
      <w:pPr>
        <w:spacing w:after="120" w:before="0" w:line="300"/>
        <w:jc w:val="both"/>
      </w:pPr>
      <w:r>
        <w:rPr>
          <w:rFonts w:ascii="Calibri" w:cs="Calibri" w:eastAsia="Calibri" w:hAnsi="Calibri"/>
          <w:b w:val="false"/>
          <w:bCs w:val="false"/>
          <w:i w:val="false"/>
          <w:iCs w:val="false"/>
          <w:sz w:val="22"/>
          <w:szCs w:val="22"/>
        </w:rPr>
        <w:t xml:space="preserve">Sustainable outcomes nevertheless depend on factors outside any modelling system: strong governance, reliable data pipelines, and integrated policy strategies that act on water and carbon with the same urgency now being applied to waste.</w:t>
      </w:r>
    </w:p>
    <w:p>
      <w:pPr>
        <w:pStyle w:val="Heading1"/>
        <w:spacing w:after="180" w:before="360"/>
      </w:pPr>
      <w:r>
        <w:rPr>
          <w:rFonts w:ascii="Calibri" w:cs="Calibri" w:eastAsia="Calibri" w:hAnsi="Calibri"/>
          <w:b/>
          <w:bCs/>
          <w:color w:val="1F3864"/>
          <w:sz w:val="32"/>
          <w:szCs w:val="32"/>
        </w:rPr>
        <w:t xml:space="preserve">10. Future Work</w:t>
      </w:r>
    </w:p>
    <w:p>
      <w:pPr>
        <w:pStyle w:val="ListParagraph"/>
        <w:numPr>
          <w:ilvl w:val="0"/>
          <w:numId w:val="2"/>
        </w:numPr>
        <w:spacing w:after="80" w:line="290"/>
      </w:pPr>
      <w:r>
        <w:rPr>
          <w:rFonts w:ascii="Calibri" w:cs="Calibri" w:eastAsia="Calibri" w:hAnsi="Calibri"/>
          <w:sz w:val="22"/>
          <w:szCs w:val="22"/>
        </w:rPr>
        <w:t xml:space="preserve">Integration of live Internet of Things telemetry for continuous twin updating.</w:t>
      </w:r>
    </w:p>
    <w:p>
      <w:pPr>
        <w:pStyle w:val="ListParagraph"/>
        <w:numPr>
          <w:ilvl w:val="0"/>
          <w:numId w:val="2"/>
        </w:numPr>
        <w:spacing w:after="80" w:line="290"/>
      </w:pPr>
      <w:r>
        <w:rPr>
          <w:rFonts w:ascii="Calibri" w:cs="Calibri" w:eastAsia="Calibri" w:hAnsi="Calibri"/>
          <w:sz w:val="22"/>
          <w:szCs w:val="22"/>
        </w:rPr>
        <w:t xml:space="preserve">Scaling the framework to additional Indian megacities (Mumbai, Bengaluru, Hyderabad).</w:t>
      </w:r>
    </w:p>
    <w:p>
      <w:pPr>
        <w:pStyle w:val="ListParagraph"/>
        <w:numPr>
          <w:ilvl w:val="0"/>
          <w:numId w:val="2"/>
        </w:numPr>
        <w:spacing w:after="80" w:line="290"/>
      </w:pPr>
      <w:r>
        <w:rPr>
          <w:rFonts w:ascii="Calibri" w:cs="Calibri" w:eastAsia="Calibri" w:hAnsi="Calibri"/>
          <w:sz w:val="22"/>
          <w:szCs w:val="22"/>
        </w:rPr>
        <w:t xml:space="preserve">Incorporation of high resolution climate simulation for flood and heat resilience.</w:t>
      </w:r>
    </w:p>
    <w:p>
      <w:pPr>
        <w:pStyle w:val="ListParagraph"/>
        <w:numPr>
          <w:ilvl w:val="0"/>
          <w:numId w:val="2"/>
        </w:numPr>
        <w:spacing w:after="80" w:line="290"/>
      </w:pPr>
      <w:r>
        <w:rPr>
          <w:rFonts w:ascii="Calibri" w:cs="Calibri" w:eastAsia="Calibri" w:hAnsi="Calibri"/>
          <w:sz w:val="22"/>
          <w:szCs w:val="22"/>
        </w:rPr>
        <w:t xml:space="preserve">Reinforcement learning based policy search to complement the current linear programming layer.</w:t>
      </w:r>
    </w:p>
    <w:p>
      <w:pPr>
        <w:pStyle w:val="Heading1"/>
        <w:spacing w:after="180" w:before="360"/>
      </w:pPr>
      <w:r>
        <w:rPr>
          <w:rFonts w:ascii="Calibri" w:cs="Calibri" w:eastAsia="Calibri" w:hAnsi="Calibri"/>
          <w:b/>
          <w:bCs/>
          <w:color w:val="1F3864"/>
          <w:sz w:val="32"/>
          <w:szCs w:val="32"/>
        </w:rPr>
        <w:t xml:space="preserve">11. References</w:t>
      </w:r>
    </w:p>
    <w:p>
      <w:pPr>
        <w:pStyle w:val="ListParagraph"/>
        <w:numPr>
          <w:ilvl w:val="0"/>
          <w:numId w:val="3"/>
        </w:numPr>
        <w:spacing w:after="80" w:line="290"/>
      </w:pPr>
      <w:r>
        <w:rPr>
          <w:rFonts w:ascii="Calibri" w:cs="Calibri" w:eastAsia="Calibri" w:hAnsi="Calibri"/>
          <w:sz w:val="22"/>
          <w:szCs w:val="22"/>
        </w:rPr>
        <w:t xml:space="preserve">Yessef et al. (2025). Digital Twin Applications in Smart Cities: A Comprehensive Review. Sustainable Cities and Society.</w:t>
      </w:r>
    </w:p>
    <w:p>
      <w:pPr>
        <w:pStyle w:val="ListParagraph"/>
        <w:numPr>
          <w:ilvl w:val="0"/>
          <w:numId w:val="3"/>
        </w:numPr>
        <w:spacing w:after="80" w:line="290"/>
      </w:pPr>
      <w:r>
        <w:rPr>
          <w:rFonts w:ascii="Calibri" w:cs="Calibri" w:eastAsia="Calibri" w:hAnsi="Calibri"/>
          <w:sz w:val="22"/>
          <w:szCs w:val="22"/>
        </w:rPr>
        <w:t xml:space="preserve">Li, H. and Wang, Y. AI Enabled Digital Twins for Urban Carbon Reduction. Journal of Cleaner Production.</w:t>
      </w:r>
    </w:p>
    <w:p>
      <w:pPr>
        <w:pStyle w:val="ListParagraph"/>
        <w:numPr>
          <w:ilvl w:val="0"/>
          <w:numId w:val="3"/>
        </w:numPr>
        <w:spacing w:after="80" w:line="290"/>
      </w:pPr>
      <w:r>
        <w:rPr>
          <w:rFonts w:ascii="Calibri" w:cs="Calibri" w:eastAsia="Calibri" w:hAnsi="Calibri"/>
          <w:sz w:val="22"/>
          <w:szCs w:val="22"/>
        </w:rPr>
        <w:t xml:space="preserve">Rehman, A. et al. Digital Twin for Smart Cities: A Systematic Review. IEEE Access.</w:t>
      </w:r>
    </w:p>
    <w:p>
      <w:pPr>
        <w:pStyle w:val="ListParagraph"/>
        <w:numPr>
          <w:ilvl w:val="0"/>
          <w:numId w:val="3"/>
        </w:numPr>
        <w:spacing w:after="80" w:line="290"/>
      </w:pPr>
      <w:r>
        <w:rPr>
          <w:rFonts w:ascii="Calibri" w:cs="Calibri" w:eastAsia="Calibri" w:hAnsi="Calibri"/>
          <w:sz w:val="22"/>
          <w:szCs w:val="22"/>
        </w:rPr>
        <w:t xml:space="preserve">Ali, M. et al. Climate Resilience in Urban Digital Twins. Environmental Modelling and Software.</w:t>
      </w:r>
    </w:p>
    <w:p>
      <w:pPr>
        <w:pStyle w:val="ListParagraph"/>
        <w:numPr>
          <w:ilvl w:val="0"/>
          <w:numId w:val="3"/>
        </w:numPr>
        <w:spacing w:after="80" w:line="290"/>
      </w:pPr>
      <w:r>
        <w:rPr>
          <w:rFonts w:ascii="Calibri" w:cs="Calibri" w:eastAsia="Calibri" w:hAnsi="Calibri"/>
          <w:sz w:val="22"/>
          <w:szCs w:val="22"/>
        </w:rPr>
        <w:t xml:space="preserve">Alnaser, A. et al. Integrating AI and IoT for Urban Sustainability. Sustainable Cities and Society.</w:t>
      </w:r>
    </w:p>
    <w:p>
      <w:pPr>
        <w:pStyle w:val="ListParagraph"/>
        <w:numPr>
          <w:ilvl w:val="0"/>
          <w:numId w:val="3"/>
        </w:numPr>
        <w:spacing w:after="80" w:line="290"/>
      </w:pPr>
      <w:r>
        <w:rPr>
          <w:rFonts w:ascii="Calibri" w:cs="Calibri" w:eastAsia="Calibri" w:hAnsi="Calibri"/>
          <w:sz w:val="22"/>
          <w:szCs w:val="22"/>
        </w:rPr>
        <w:t xml:space="preserve">Delhi Jal Board Annual Report (2023). Government of NCT of Delhi.</w:t>
      </w:r>
    </w:p>
    <w:p>
      <w:pPr>
        <w:pStyle w:val="ListParagraph"/>
        <w:numPr>
          <w:ilvl w:val="0"/>
          <w:numId w:val="3"/>
        </w:numPr>
        <w:spacing w:after="80" w:line="290"/>
      </w:pPr>
      <w:r>
        <w:rPr>
          <w:rFonts w:ascii="Calibri" w:cs="Calibri" w:eastAsia="Calibri" w:hAnsi="Calibri"/>
          <w:sz w:val="22"/>
          <w:szCs w:val="22"/>
        </w:rPr>
        <w:t xml:space="preserve">Central Pollution Control Board (2023). National Emission Inventory for Indian Megacities.</w:t>
      </w:r>
    </w:p>
    <w:p>
      <w:pPr>
        <w:pStyle w:val="ListParagraph"/>
        <w:numPr>
          <w:ilvl w:val="0"/>
          <w:numId w:val="3"/>
        </w:numPr>
        <w:spacing w:after="80" w:line="290"/>
      </w:pPr>
      <w:r>
        <w:rPr>
          <w:rFonts w:ascii="Calibri" w:cs="Calibri" w:eastAsia="Calibri" w:hAnsi="Calibri"/>
          <w:sz w:val="22"/>
          <w:szCs w:val="22"/>
        </w:rPr>
        <w:t xml:space="preserve">Municipal Corporation of Delhi (2023). Solid Waste Management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InfraVision — Sustainability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InfraVision Sustainability Intelligence Report</dc:title>
  <dc:creator>Asad Ahmad</dc:creator>
  <dc:description>Digital Twin Enabled Sustainability Intelligence Framework for Smart Cities</dc:description>
  <cp:lastModifiedBy>Un-named</cp:lastModifiedBy>
  <cp:revision>1</cp:revision>
  <dcterms:created xsi:type="dcterms:W3CDTF">2026-04-21T11:00:21.874Z</dcterms:created>
  <dcterms:modified xsi:type="dcterms:W3CDTF">2026-04-21T11:00:21.875Z</dcterms:modified>
</cp:coreProperties>
</file>

<file path=docProps/custom.xml><?xml version="1.0" encoding="utf-8"?>
<Properties xmlns="http://schemas.openxmlformats.org/officeDocument/2006/custom-properties" xmlns:vt="http://schemas.openxmlformats.org/officeDocument/2006/docPropsVTypes"/>
</file>