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E50"/>
          <w:sz w:val="44"/>
        </w:rPr>
        <w:t>Digital Twin Enabled Sustainability Intelligence:</w:t>
        <w:br/>
        <w:t>A Multi-Vector Framework for Delhi's Urban Resilience (2025-2035)</w:t>
      </w:r>
    </w:p>
    <w:p/>
    <w:p>
      <w:pPr>
        <w:jc w:val="center"/>
      </w:pPr>
      <w:r>
        <w:rPr>
          <w:i/>
        </w:rPr>
        <w:t>InfraVision Research Group | Urban AI &amp; Climate Analytics Division</w:t>
        <w:br/>
      </w:r>
      <w:r>
        <w:t>Date: April 21, 2026 | DOI: 10.1234/infravision.sust.2026.04</w:t>
      </w:r>
    </w:p>
    <w:p/>
    <w:p>
      <w:pPr>
        <w:pStyle w:val="Heading1"/>
      </w:pPr>
      <w:r>
        <w:t>ABSTRACT</w:t>
      </w:r>
    </w:p>
    <w:p>
      <w:pPr>
        <w:jc w:val="both"/>
      </w:pPr>
      <w:r>
        <w:t>This research report delineates the architectural and mathematical foundations of the InfraVision Sustainability Intelligence (SI) module. By leveraging a high-fidelity Digital Twin framework, we model Delhi's urban ecosystem as a complex network of 9 administrative zones interconnected by 24 critical infrastructure vectors. The framework integrates machine learning-based forecasting and graph-theoretic resilience simulation.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twin_dashboard_concept_17767674442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Conceptual visualization of the InfraVision Digital Twin interface.</w:t>
      </w:r>
    </w:p>
    <w:p>
      <w:r>
        <w:br w:type="page"/>
      </w:r>
    </w:p>
    <w:p>
      <w:pPr>
        <w:pStyle w:val="Heading1"/>
      </w:pPr>
      <w:r>
        <w:t>1. DIGITAL TWIN ARCHITECTURE</w:t>
      </w:r>
    </w:p>
    <w:p>
      <w:r>
        <w:t>The system architecture is structured around a Hyper-Graph Topology where administrative zones are nodes and infrastructure pipelines are edges. The graph model accounts for bidirectional flow and capacity constraints.</w:t>
      </w:r>
    </w:p>
    <w:p>
      <w:pPr>
        <w:pStyle w:val="Heading2"/>
      </w:pPr>
      <w:r>
        <w:t>Network Resilience &amp; Stress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Rank</w:t>
            </w:r>
          </w:p>
        </w:tc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Propagation Impact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Central</w:t>
            </w:r>
          </w:p>
        </w:tc>
        <w:tc>
          <w:tcPr>
            <w:tcW w:type="dxa" w:w="2880"/>
          </w:tcPr>
          <w:p>
            <w:r>
              <w:t>4 Nodes (50.0%)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3 Nodes (38%)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3 Nodes (38%)</w:t>
            </w:r>
          </w:p>
        </w:tc>
      </w:tr>
    </w:tbl>
    <w:p>
      <w:r>
        <w:br/>
      </w:r>
    </w:p>
    <w:p>
      <w:pPr>
        <w:pStyle w:val="Heading1"/>
      </w:pPr>
      <w:r>
        <w:t>2. TECHNICAL METHODOLOGY</w:t>
      </w:r>
    </w:p>
    <w:p>
      <w:r>
        <w:t>For policy-grade interpretation, this report utilizes a 2015-2035 simulation horizon. The decision engines leverage GradientBoosting for score modeling and Linear Programming (PuLP) for budget optimization.</w:t>
      </w:r>
    </w:p>
    <w:p>
      <w:pPr>
        <w:pStyle w:val="Heading1"/>
      </w:pPr>
      <w:r>
        <w:t>3. ANALYTICAL FINDINGS (2030 HORIZON)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2025 Baseline</w:t>
            </w:r>
          </w:p>
        </w:tc>
        <w:tc>
          <w:tcPr>
            <w:tcW w:type="dxa" w:w="2880"/>
          </w:tcPr>
          <w:p>
            <w:r>
              <w:t>2030 Latest</w:t>
            </w:r>
          </w:p>
        </w:tc>
      </w:tr>
      <w:tr>
        <w:tc>
          <w:tcPr>
            <w:tcW w:type="dxa" w:w="2880"/>
          </w:tcPr>
          <w:p>
            <w:r>
              <w:t>Avg Sustainability Score</w:t>
            </w:r>
          </w:p>
        </w:tc>
        <w:tc>
          <w:tcPr>
            <w:tcW w:type="dxa" w:w="2880"/>
          </w:tcPr>
          <w:p>
            <w:r>
              <w:t>60.22</w:t>
            </w:r>
          </w:p>
        </w:tc>
        <w:tc>
          <w:tcPr>
            <w:tcW w:type="dxa" w:w="2880"/>
          </w:tcPr>
          <w:p>
            <w:r>
              <w:t>62.44</w:t>
            </w:r>
          </w:p>
        </w:tc>
      </w:tr>
      <w:tr>
        <w:tc>
          <w:tcPr>
            <w:tcW w:type="dxa" w:w="2880"/>
          </w:tcPr>
          <w:p>
            <w:r>
              <w:t>Water Gap (MGD)</w:t>
            </w:r>
          </w:p>
        </w:tc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764</w:t>
            </w:r>
          </w:p>
        </w:tc>
      </w:tr>
      <w:tr>
        <w:tc>
          <w:tcPr>
            <w:tcW w:type="dxa" w:w="2880"/>
          </w:tcPr>
          <w:p>
            <w:r>
              <w:t>Waste Processing (%)</w:t>
            </w:r>
          </w:p>
        </w:tc>
        <w:tc>
          <w:tcPr>
            <w:tcW w:type="dxa" w:w="2880"/>
          </w:tcPr>
          <w:p>
            <w:r>
              <w:t>78.11</w:t>
            </w:r>
          </w:p>
        </w:tc>
        <w:tc>
          <w:tcPr>
            <w:tcW w:type="dxa" w:w="2880"/>
          </w:tcPr>
          <w:p>
            <w:r>
              <w:t>95.00</w:t>
            </w:r>
          </w:p>
        </w:tc>
      </w:tr>
      <w:tr>
        <w:tc>
          <w:tcPr>
            <w:tcW w:type="dxa" w:w="2880"/>
          </w:tcPr>
          <w:p>
            <w:r>
              <w:t>Total GHG (MtCO2)</w:t>
            </w:r>
          </w:p>
        </w:tc>
        <w:tc>
          <w:tcPr>
            <w:tcW w:type="dxa" w:w="2880"/>
          </w:tcPr>
          <w:p>
            <w:r>
              <w:t>56.50</w:t>
            </w:r>
          </w:p>
        </w:tc>
        <w:tc>
          <w:tcPr>
            <w:tcW w:type="dxa" w:w="2880"/>
          </w:tcPr>
          <w:p>
            <w:r>
              <w:t>62.40</w:t>
            </w:r>
          </w:p>
        </w:tc>
      </w:tr>
    </w:tbl>
    <w:p>
      <w:r>
        <w:br/>
      </w:r>
    </w:p>
    <w:p>
      <w:pPr>
        <w:pStyle w:val="Heading1"/>
      </w:pPr>
      <w:r>
        <w:t>4. STRATEGIC ROADMAP</w:t>
      </w:r>
    </w:p>
    <w:p>
      <w:r>
        <w:t>P1: Data Fidelity Hardening (Days 1-30)</w:t>
      </w:r>
    </w:p>
    <w:p>
      <w:r>
        <w:t>P2: Twin Intelligence Expansion (Days 31-60)</w:t>
      </w:r>
    </w:p>
    <w:p>
      <w:r>
        <w:t>P3: Decision Ops Readiness (Days 61-90)</w:t>
      </w:r>
    </w:p>
    <w:p>
      <w:pPr>
        <w:pStyle w:val="Heading1"/>
      </w:pPr>
      <w:r>
        <w:t>CONCLUSION</w:t>
      </w:r>
    </w:p>
    <w:p>
      <w:r>
        <w:t>Delhi requires a water-first, central-node-resilience-first, and cross-sector policy coupling to convert score gains into durable sustainability outcomes. The InfraVision platform is now fully mission-ready for this transition.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t>InfraVision Research Intelligence</w:t>
          </w:r>
        </w:p>
      </w:tc>
      <w:tc>
        <w:tcPr>
          <w:tcW w:type="dxa" w:w="4680"/>
        </w:tcPr>
        <w:p>
          <w:pPr>
            <w:jc w:val="right"/>
          </w:pPr>
          <w:r>
            <w:t>Sustainability Review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