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24dfec47c24646a8ddb7db30579a49ed520f34c"/>
    <w:p>
      <w:pPr>
        <w:pStyle w:val="Heading1"/>
      </w:pPr>
      <w:r>
        <w:t xml:space="preserve">Digital Twin Enabled Sustainability Intelligence for Delhi: A Practical Framework for Intelligent Urban Resource Management</w:t>
      </w:r>
    </w:p>
    <w:p>
      <w:pPr>
        <w:pStyle w:val="FirstParagraph"/>
      </w:pPr>
      <w:r>
        <w:rPr>
          <w:bCs/>
          <w:b/>
        </w:rPr>
        <w:t xml:space="preserve">A R T I C L E I N F O</w:t>
      </w:r>
      <w:r>
        <w:br/>
      </w:r>
      <w:r>
        <w:rPr>
          <w:bCs/>
          <w:b/>
        </w:rPr>
        <w:t xml:space="preserve">Project:</w:t>
      </w:r>
      <w:r>
        <w:t xml:space="preserve"> </w:t>
      </w:r>
      <w:r>
        <w:t xml:space="preserve">InfraVision Sustainability Intelligence</w:t>
      </w:r>
      <w:r>
        <w:br/>
      </w:r>
      <w:r>
        <w:rPr>
          <w:bCs/>
          <w:b/>
        </w:rPr>
        <w:t xml:space="preserve">Domain:</w:t>
      </w:r>
      <w:r>
        <w:t xml:space="preserve"> </w:t>
      </w:r>
      <w:r>
        <w:t xml:space="preserve">Smart City Planning, Digital Twin, Climate and Infrastructure Analytics</w:t>
      </w:r>
      <w:r>
        <w:br/>
      </w:r>
      <w:r>
        <w:rPr>
          <w:bCs/>
          <w:b/>
        </w:rPr>
        <w:t xml:space="preserve">Study Window:</w:t>
      </w:r>
      <w:r>
        <w:t xml:space="preserve"> </w:t>
      </w:r>
      <w:r>
        <w:t xml:space="preserve">2015-2030 data slice, 2025-2035 scenario horizon</w:t>
      </w:r>
      <w:r>
        <w:br/>
      </w:r>
      <w:r>
        <w:rPr>
          <w:bCs/>
          <w:b/>
        </w:rPr>
        <w:t xml:space="preserve">Keywords:</w:t>
      </w:r>
      <w:r>
        <w:t xml:space="preserve"> </w:t>
      </w:r>
      <w:r>
        <w:t xml:space="preserve">digital twin, sustainability intelligence, smart city, policy simulation, climate resilience, urban AI, optimization</w:t>
      </w:r>
    </w:p>
    <w:bookmarkStart w:id="20" w:name="a-b-s-t-r-a-c-t"/>
    <w:p>
      <w:pPr>
        <w:pStyle w:val="Heading2"/>
      </w:pPr>
      <w:r>
        <w:t xml:space="preserve">A B S T R A C T</w:t>
      </w:r>
    </w:p>
    <w:p>
      <w:pPr>
        <w:pStyle w:val="FirstParagraph"/>
      </w:pPr>
      <w:r>
        <w:t xml:space="preserve">This report presents a production-ready Digital Twin capability inside the InfraVision platform to support sustainability-focused urban planning for Delhi. The implementation combines zone-level infrastructure data, graph-based interdependency modeling, machine learning forecasting, policy simulation, and optimization into one decision-support workflow. The current system covers 9 zones and 9 sustainability modules, including water, energy, waste, green space, carbon, policy simulation, explainability, optimization, and reporting.</w:t>
      </w:r>
    </w:p>
    <w:p>
      <w:pPr>
        <w:pStyle w:val="BodyText"/>
      </w:pPr>
      <w:r>
        <w:t xml:space="preserve">Quantitative analysis shows mixed outcomes: the city-level sustainability score improves from 60.22 (2025 baseline) to 62.44 (2030), and waste processing improves from 78.11% to 95.00%, but water gap increases from 594 MGD to 764 MGD and total GHG rises from 56.50 to 62.40 MtCO2 over the same period. Digital Twin network simulation identifies Central zone as the highest criticality node, with a single-zone failure causing 4 directly impacted zones and reducing resilience to 50.0%.</w:t>
      </w:r>
    </w:p>
    <w:p>
      <w:pPr>
        <w:pStyle w:val="BodyText"/>
      </w:pPr>
      <w:r>
        <w:t xml:space="preserve">Policy Twin simulation for 2025-2035 shows that a combined intervention mix can improve city score by +5.08 points and reduce city GHG by 9.49 MtCO2 against baseline. LP-based optimization under INR 1500 Cr budget delivers a feasible mix with 5.00 MtCO2 reduction and +24.60 score-lift potential. Overall, the platform is operational and decision-useful, with clear next steps for data governance hardening, scenario realism, and city-scale deployment.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Delhi’s planning environment requires faster and evidence-backed sustainability decisions across coupled systems: water, energy, waste, transport, and green assets. Traditional siloed analysis is not sufficient for cascading risks and cross-sector trade-offs.</w:t>
      </w:r>
    </w:p>
    <w:p>
      <w:pPr>
        <w:pStyle w:val="BodyText"/>
      </w:pPr>
      <w:r>
        <w:t xml:space="preserve">The InfraVision Digital Twin feature addresses this by creating a connected computational representation of zone-level urban systems, enabling:</w:t>
      </w:r>
      <w:r>
        <w:t xml:space="preserve"> </w:t>
      </w:r>
      <w:r>
        <w:t xml:space="preserve">- Real-time state visibility by zone</w:t>
      </w:r>
      <w:r>
        <w:t xml:space="preserve"> </w:t>
      </w:r>
      <w:r>
        <w:t xml:space="preserve">- Infrastructure failure cascade simulation</w:t>
      </w:r>
      <w:r>
        <w:t xml:space="preserve"> </w:t>
      </w:r>
      <w:r>
        <w:t xml:space="preserve">- Multi-year policy impact comparison</w:t>
      </w:r>
      <w:r>
        <w:t xml:space="preserve"> </w:t>
      </w:r>
      <w:r>
        <w:t xml:space="preserve">- ML-backed driver explainability</w:t>
      </w:r>
      <w:r>
        <w:t xml:space="preserve"> </w:t>
      </w:r>
      <w:r>
        <w:t xml:space="preserve">- Budget-constrained optimization for actionable interventions</w:t>
      </w:r>
    </w:p>
    <w:p>
      <w:r>
        <w:pict>
          <v:rect style="width:0;height:1.5pt" o:hralign="center" o:hrstd="t" o:hr="t"/>
        </w:pict>
      </w:r>
    </w:p>
    <w:bookmarkEnd w:id="21"/>
    <w:bookmarkStart w:id="25" w:name="system-scope-and-implementation-context"/>
    <w:p>
      <w:pPr>
        <w:pStyle w:val="Heading2"/>
      </w:pPr>
      <w:r>
        <w:t xml:space="preserve">2. System Scope and Implementation Context</w:t>
      </w:r>
    </w:p>
    <w:bookmarkStart w:id="22" w:name="covered-modules"/>
    <w:p>
      <w:pPr>
        <w:pStyle w:val="Heading3"/>
      </w:pPr>
      <w:r>
        <w:t xml:space="preserve">2.1 Covered Modules</w:t>
      </w:r>
    </w:p>
    <w:p>
      <w:pPr>
        <w:pStyle w:val="FirstParagraph"/>
      </w:pPr>
      <w:r>
        <w:t xml:space="preserve">The sustainability implementation includes 9 modules:</w:t>
      </w:r>
      <w:r>
        <w:t xml:space="preserve"> </w:t>
      </w:r>
      <w:r>
        <w:t xml:space="preserve">1. Overview Dashboard</w:t>
      </w:r>
      <w:r>
        <w:t xml:space="preserve"> </w:t>
      </w:r>
      <w:r>
        <w:t xml:space="preserve">2. Water Intelligence</w:t>
      </w:r>
      <w:r>
        <w:t xml:space="preserve"> </w:t>
      </w:r>
      <w:r>
        <w:t xml:space="preserve">3. Energy and Solar Intelligence</w:t>
      </w:r>
      <w:r>
        <w:t xml:space="preserve"> </w:t>
      </w:r>
      <w:r>
        <w:t xml:space="preserve">4. Waste and Circular Economy</w:t>
      </w:r>
      <w:r>
        <w:t xml:space="preserve"> </w:t>
      </w:r>
      <w:r>
        <w:t xml:space="preserve">5. Green Space Intelligence</w:t>
      </w:r>
      <w:r>
        <w:t xml:space="preserve"> </w:t>
      </w:r>
      <w:r>
        <w:t xml:space="preserve">6. Carbon Footprint Intelligence</w:t>
      </w:r>
      <w:r>
        <w:t xml:space="preserve"> </w:t>
      </w:r>
      <w:r>
        <w:t xml:space="preserve">7. Policy Simulator</w:t>
      </w:r>
      <w:r>
        <w:t xml:space="preserve"> </w:t>
      </w:r>
      <w:r>
        <w:t xml:space="preserve">8. AI Recommendations and Explainability</w:t>
      </w:r>
      <w:r>
        <w:t xml:space="preserve"> </w:t>
      </w:r>
      <w:r>
        <w:t xml:space="preserve">9. Reports and Export</w:t>
      </w:r>
    </w:p>
    <w:bookmarkEnd w:id="22"/>
    <w:bookmarkStart w:id="23" w:name="geographic-scope"/>
    <w:p>
      <w:pPr>
        <w:pStyle w:val="Heading3"/>
      </w:pPr>
      <w:r>
        <w:t xml:space="preserve">2.2 Geographic Scope</w:t>
      </w:r>
    </w:p>
    <w:p>
      <w:pPr>
        <w:numPr>
          <w:ilvl w:val="0"/>
          <w:numId w:val="1001"/>
        </w:numPr>
        <w:pStyle w:val="Compact"/>
      </w:pPr>
      <w:r>
        <w:t xml:space="preserve">9 Delhi zones: North, South, East, West, Central, North-East, North-West, South-West, South-East</w:t>
      </w:r>
    </w:p>
    <w:bookmarkEnd w:id="23"/>
    <w:bookmarkStart w:id="24" w:name="data-and-services"/>
    <w:p>
      <w:pPr>
        <w:pStyle w:val="Heading3"/>
      </w:pPr>
      <w:r>
        <w:t xml:space="preserve">2.3 Data and Services</w:t>
      </w:r>
    </w:p>
    <w:p>
      <w:pPr>
        <w:numPr>
          <w:ilvl w:val="0"/>
          <w:numId w:val="1002"/>
        </w:numPr>
        <w:pStyle w:val="Compact"/>
      </w:pPr>
      <w:r>
        <w:t xml:space="preserve">Primary dataset:</w:t>
      </w:r>
      <w:r>
        <w:t xml:space="preserve"> </w:t>
      </w:r>
      <w:r>
        <w:rPr>
          <w:rStyle w:val="VerbatimChar"/>
        </w:rPr>
        <w:t xml:space="preserve">data/expanded_sustainability_delhi.csv</w:t>
      </w:r>
    </w:p>
    <w:p>
      <w:pPr>
        <w:numPr>
          <w:ilvl w:val="0"/>
          <w:numId w:val="1002"/>
        </w:numPr>
        <w:pStyle w:val="Compact"/>
      </w:pPr>
      <w:r>
        <w:t xml:space="preserve">Web platform: Next.js module at</w:t>
      </w:r>
      <w:r>
        <w:t xml:space="preserve"> </w:t>
      </w:r>
      <w:r>
        <w:rPr>
          <w:rStyle w:val="VerbatimChar"/>
        </w:rPr>
        <w:t xml:space="preserve">infra-vision/app/sustainability-intelligence/</w:t>
      </w:r>
    </w:p>
    <w:p>
      <w:pPr>
        <w:numPr>
          <w:ilvl w:val="0"/>
          <w:numId w:val="1002"/>
        </w:numPr>
        <w:pStyle w:val="Compact"/>
      </w:pPr>
      <w:r>
        <w:t xml:space="preserve">APIs:</w:t>
      </w:r>
      <w:r>
        <w:t xml:space="preserve"> </w:t>
      </w:r>
      <w:r>
        <w:rPr>
          <w:rStyle w:val="VerbatimChar"/>
        </w:rPr>
        <w:t xml:space="preserve">infra-vision/app/api/sustainability/*</w:t>
      </w:r>
    </w:p>
    <w:p>
      <w:pPr>
        <w:numPr>
          <w:ilvl w:val="0"/>
          <w:numId w:val="1002"/>
        </w:numPr>
        <w:pStyle w:val="Compact"/>
      </w:pPr>
      <w:r>
        <w:t xml:space="preserve">Python backend:</w:t>
      </w:r>
      <w:r>
        <w:t xml:space="preserve"> </w:t>
      </w:r>
      <w:r>
        <w:rPr>
          <w:rStyle w:val="VerbatimChar"/>
        </w:rPr>
        <w:t xml:space="preserve">sustainability_api/</w:t>
      </w:r>
      <w:r>
        <w:t xml:space="preserve"> </w:t>
      </w:r>
      <w:r>
        <w:t xml:space="preserve">(ML, simulation, optimization, alerts)</w:t>
      </w:r>
    </w:p>
    <w:p>
      <w:r>
        <w:pict>
          <v:rect style="width:0;height:1.5pt" o:hralign="center" o:hrstd="t" o:hr="t"/>
        </w:pict>
      </w:r>
    </w:p>
    <w:bookmarkEnd w:id="24"/>
    <w:bookmarkEnd w:id="25"/>
    <w:bookmarkStart w:id="29" w:name="digital-twin-architecture"/>
    <w:p>
      <w:pPr>
        <w:pStyle w:val="Heading2"/>
      </w:pPr>
      <w:r>
        <w:t xml:space="preserve">3. Digital Twin Architecture</w:t>
      </w:r>
    </w:p>
    <w:bookmarkStart w:id="26" w:name="core-modeling-stack"/>
    <w:p>
      <w:pPr>
        <w:pStyle w:val="Heading3"/>
      </w:pPr>
      <w:r>
        <w:t xml:space="preserve">3.1 Core Modeling Stack</w:t>
      </w:r>
    </w:p>
    <w:p>
      <w:pPr>
        <w:numPr>
          <w:ilvl w:val="0"/>
          <w:numId w:val="1003"/>
        </w:numPr>
        <w:pStyle w:val="Compact"/>
      </w:pPr>
      <w:r>
        <w:rPr>
          <w:bCs/>
          <w:b/>
        </w:rPr>
        <w:t xml:space="preserve">Graph Twin:</w:t>
      </w:r>
      <w:r>
        <w:t xml:space="preserve"> </w:t>
      </w:r>
      <w:r>
        <w:t xml:space="preserve">NetworkX directed graph (</w:t>
      </w:r>
      <w:r>
        <w:rPr>
          <w:rStyle w:val="VerbatimChar"/>
        </w:rPr>
        <w:t xml:space="preserve">simulation/city_graph.py</w:t>
      </w:r>
      <w:r>
        <w:t xml:space="preserve">)</w:t>
      </w:r>
    </w:p>
    <w:p>
      <w:pPr>
        <w:numPr>
          <w:ilvl w:val="0"/>
          <w:numId w:val="1003"/>
        </w:numPr>
        <w:pStyle w:val="Compact"/>
      </w:pPr>
      <w:r>
        <w:rPr>
          <w:bCs/>
          <w:b/>
        </w:rPr>
        <w:t xml:space="preserve">Forecasting Models:</w:t>
      </w:r>
      <w:r>
        <w:t xml:space="preserve"> </w:t>
      </w:r>
      <w:r>
        <w:t xml:space="preserve">Prophet (water), XGBoost (energy), RandomForest (waste), Ridge (carbon)</w:t>
      </w:r>
    </w:p>
    <w:p>
      <w:pPr>
        <w:numPr>
          <w:ilvl w:val="0"/>
          <w:numId w:val="1003"/>
        </w:numPr>
        <w:pStyle w:val="Compact"/>
      </w:pPr>
      <w:r>
        <w:rPr>
          <w:bCs/>
          <w:b/>
        </w:rPr>
        <w:t xml:space="preserve">Composite Scoring:</w:t>
      </w:r>
      <w:r>
        <w:t xml:space="preserve"> </w:t>
      </w:r>
      <w:r>
        <w:t xml:space="preserve">GradientBoosting-based score model + SHAP explainability</w:t>
      </w:r>
    </w:p>
    <w:p>
      <w:pPr>
        <w:numPr>
          <w:ilvl w:val="0"/>
          <w:numId w:val="1003"/>
        </w:numPr>
        <w:pStyle w:val="Compact"/>
      </w:pPr>
      <w:r>
        <w:rPr>
          <w:bCs/>
          <w:b/>
        </w:rPr>
        <w:t xml:space="preserve">Optimization:</w:t>
      </w:r>
      <w:r>
        <w:t xml:space="preserve"> </w:t>
      </w:r>
      <w:r>
        <w:t xml:space="preserve">PuLP linear programming (</w:t>
      </w:r>
      <w:r>
        <w:rPr>
          <w:rStyle w:val="VerbatimChar"/>
        </w:rPr>
        <w:t xml:space="preserve">optimization/lp_solver.py</w:t>
      </w:r>
      <w:r>
        <w:t xml:space="preserve">)</w:t>
      </w:r>
    </w:p>
    <w:p>
      <w:pPr>
        <w:numPr>
          <w:ilvl w:val="0"/>
          <w:numId w:val="1003"/>
        </w:numPr>
        <w:pStyle w:val="Compact"/>
      </w:pPr>
      <w:r>
        <w:rPr>
          <w:bCs/>
          <w:b/>
        </w:rPr>
        <w:t xml:space="preserve">Recommendation Engine:</w:t>
      </w:r>
      <w:r>
        <w:t xml:space="preserve"> </w:t>
      </w:r>
      <w:r>
        <w:t xml:space="preserve">Rule+severity based intervention ranking (</w:t>
      </w:r>
      <w:r>
        <w:rPr>
          <w:rStyle w:val="VerbatimChar"/>
        </w:rPr>
        <w:t xml:space="preserve">recommendation/rule_engine.py</w:t>
      </w:r>
      <w:r>
        <w:t xml:space="preserve">)</w:t>
      </w:r>
    </w:p>
    <w:bookmarkEnd w:id="26"/>
    <w:bookmarkStart w:id="27" w:name="twin-graph-topology"/>
    <w:p>
      <w:pPr>
        <w:pStyle w:val="Heading3"/>
      </w:pPr>
      <w:r>
        <w:t xml:space="preserve">3.2 Twin Graph Topology</w:t>
      </w:r>
    </w:p>
    <w:p>
      <w:pPr>
        <w:numPr>
          <w:ilvl w:val="0"/>
          <w:numId w:val="1004"/>
        </w:numPr>
        <w:pStyle w:val="Compact"/>
      </w:pPr>
      <w:r>
        <w:t xml:space="preserve">Nodes: 9 zones</w:t>
      </w:r>
    </w:p>
    <w:p>
      <w:pPr>
        <w:numPr>
          <w:ilvl w:val="0"/>
          <w:numId w:val="1004"/>
        </w:numPr>
        <w:pStyle w:val="Compact"/>
      </w:pPr>
      <w:r>
        <w:t xml:space="preserve">Edges: 24 directed infrastructure links</w:t>
      </w:r>
    </w:p>
    <w:p>
      <w:pPr>
        <w:numPr>
          <w:ilvl w:val="0"/>
          <w:numId w:val="1004"/>
        </w:numPr>
        <w:pStyle w:val="Compact"/>
      </w:pPr>
      <w:r>
        <w:t xml:space="preserve">Edge types: water_pipeline, energy_grid, waste_transport</w:t>
      </w:r>
    </w:p>
    <w:p>
      <w:pPr>
        <w:numPr>
          <w:ilvl w:val="0"/>
          <w:numId w:val="1004"/>
        </w:numPr>
        <w:pStyle w:val="Compact"/>
      </w:pPr>
      <w:r>
        <w:t xml:space="preserve">Graph metrics:</w:t>
      </w:r>
      <w:r>
        <w:t xml:space="preserve"> </w:t>
      </w:r>
      <w:r>
        <w:rPr>
          <w:rStyle w:val="VerbatimChar"/>
        </w:rPr>
        <w:t xml:space="preserve">total_nodes=9</w:t>
      </w:r>
      <w:r>
        <w:t xml:space="preserve">,</w:t>
      </w:r>
      <w:r>
        <w:t xml:space="preserve"> </w:t>
      </w:r>
      <w:r>
        <w:rPr>
          <w:rStyle w:val="VerbatimChar"/>
        </w:rPr>
        <w:t xml:space="preserve">total_edges=24</w:t>
      </w:r>
      <w:r>
        <w:t xml:space="preserve">,</w:t>
      </w:r>
      <w:r>
        <w:t xml:space="preserve"> </w:t>
      </w:r>
      <w:r>
        <w:rPr>
          <w:rStyle w:val="VerbatimChar"/>
        </w:rPr>
        <w:t xml:space="preserve">avg_degree=5.33</w:t>
      </w:r>
      <w:r>
        <w:t xml:space="preserve">,</w:t>
      </w:r>
      <w:r>
        <w:t xml:space="preserve"> </w:t>
      </w:r>
      <w:r>
        <w:rPr>
          <w:rStyle w:val="VerbatimChar"/>
        </w:rPr>
        <w:t xml:space="preserve">is_connected=true</w:t>
      </w:r>
    </w:p>
    <w:bookmarkEnd w:id="27"/>
    <w:bookmarkStart w:id="28" w:name="functional-twin-workflows"/>
    <w:p>
      <w:pPr>
        <w:pStyle w:val="Heading3"/>
      </w:pPr>
      <w:r>
        <w:t xml:space="preserve">3.3 Functional Twin Workflows</w:t>
      </w:r>
    </w:p>
    <w:p>
      <w:pPr>
        <w:numPr>
          <w:ilvl w:val="0"/>
          <w:numId w:val="1005"/>
        </w:numPr>
        <w:pStyle w:val="Compact"/>
      </w:pPr>
      <w:r>
        <w:rPr>
          <w:bCs/>
          <w:b/>
        </w:rPr>
        <w:t xml:space="preserve">Network Resilience Map</w:t>
      </w:r>
      <w:r>
        <w:br/>
      </w:r>
      <w:r>
        <w:t xml:space="preserve">Simulates node failure and propagates impact by infrastructure edge type.</w:t>
      </w:r>
    </w:p>
    <w:p>
      <w:pPr>
        <w:numPr>
          <w:ilvl w:val="0"/>
          <w:numId w:val="1005"/>
        </w:numPr>
        <w:pStyle w:val="Compact"/>
      </w:pPr>
      <w:r>
        <w:rPr>
          <w:bCs/>
          <w:b/>
        </w:rPr>
        <w:t xml:space="preserve">Policy Impact Twin</w:t>
      </w:r>
      <w:r>
        <w:br/>
      </w:r>
      <w:r>
        <w:t xml:space="preserve">Compares Baseline vs intervention scenarios over multi-year horizon.</w:t>
      </w:r>
    </w:p>
    <w:p>
      <w:pPr>
        <w:numPr>
          <w:ilvl w:val="0"/>
          <w:numId w:val="1005"/>
        </w:numPr>
        <w:pStyle w:val="Compact"/>
      </w:pPr>
      <w:r>
        <w:rPr>
          <w:bCs/>
          <w:b/>
        </w:rPr>
        <w:t xml:space="preserve">Stress Test Twin</w:t>
      </w:r>
      <w:r>
        <w:br/>
      </w:r>
      <w:r>
        <w:t xml:space="preserve">Tests capacity threshold breach under population and climate pressure.</w:t>
      </w:r>
    </w:p>
    <w:p>
      <w:pPr>
        <w:numPr>
          <w:ilvl w:val="0"/>
          <w:numId w:val="1005"/>
        </w:numPr>
        <w:pStyle w:val="Compact"/>
      </w:pPr>
      <w:r>
        <w:rPr>
          <w:bCs/>
          <w:b/>
        </w:rPr>
        <w:t xml:space="preserve">Optimization Twin</w:t>
      </w:r>
      <w:r>
        <w:br/>
      </w:r>
      <w:r>
        <w:t xml:space="preserve">Solves intervention allocation under budget and target constraints.</w:t>
      </w:r>
    </w:p>
    <w:p>
      <w:r>
        <w:pict>
          <v:rect style="width:0;height:1.5pt" o:hralign="center" o:hrstd="t" o:hr="t"/>
        </w:pict>
      </w:r>
    </w:p>
    <w:bookmarkEnd w:id="28"/>
    <w:bookmarkEnd w:id="29"/>
    <w:bookmarkStart w:id="33" w:name="methodology-and-assumptions"/>
    <w:p>
      <w:pPr>
        <w:pStyle w:val="Heading2"/>
      </w:pPr>
      <w:r>
        <w:t xml:space="preserve">4. Methodology and Assumptions</w:t>
      </w:r>
    </w:p>
    <w:bookmarkStart w:id="30" w:name="analytical-window-and-data-conditioning"/>
    <w:p>
      <w:pPr>
        <w:pStyle w:val="Heading3"/>
      </w:pPr>
      <w:r>
        <w:t xml:space="preserve">4.1 Analytical Window and Data Conditioning</w:t>
      </w:r>
    </w:p>
    <w:p>
      <w:pPr>
        <w:numPr>
          <w:ilvl w:val="0"/>
          <w:numId w:val="1006"/>
        </w:numPr>
        <w:pStyle w:val="Compact"/>
      </w:pPr>
      <w:r>
        <w:t xml:space="preserve">Raw dataset includes synthetic years from 1800 onward.</w:t>
      </w:r>
    </w:p>
    <w:p>
      <w:pPr>
        <w:numPr>
          <w:ilvl w:val="0"/>
          <w:numId w:val="1006"/>
        </w:numPr>
        <w:pStyle w:val="Compact"/>
      </w:pPr>
      <w:r>
        <w:t xml:space="preserve">For policy-grade interpretation, this report uses</w:t>
      </w:r>
      <w:r>
        <w:t xml:space="preserve"> </w:t>
      </w:r>
      <w:r>
        <w:rPr>
          <w:bCs/>
          <w:b/>
        </w:rPr>
        <w:t xml:space="preserve">2015-2030</w:t>
      </w:r>
      <w:r>
        <w:t xml:space="preserve"> </w:t>
      </w:r>
      <w:r>
        <w:t xml:space="preserve">window only.</w:t>
      </w:r>
    </w:p>
    <w:p>
      <w:pPr>
        <w:numPr>
          <w:ilvl w:val="0"/>
          <w:numId w:val="1006"/>
        </w:numPr>
        <w:pStyle w:val="Compact"/>
      </w:pPr>
      <w:r>
        <w:t xml:space="preserve">Baseline year used for trend comparison:</w:t>
      </w:r>
      <w:r>
        <w:t xml:space="preserve"> </w:t>
      </w:r>
      <w:r>
        <w:rPr>
          <w:bCs/>
          <w:b/>
        </w:rPr>
        <w:t xml:space="preserve">2025</w:t>
      </w:r>
      <w:r>
        <w:t xml:space="preserve">.</w:t>
      </w:r>
    </w:p>
    <w:bookmarkEnd w:id="30"/>
    <w:bookmarkStart w:id="31" w:name="kpi-definitions"/>
    <w:p>
      <w:pPr>
        <w:pStyle w:val="Heading3"/>
      </w:pPr>
      <w:r>
        <w:t xml:space="preserve">4.2 KPI Definitions</w:t>
      </w:r>
    </w:p>
    <w:p>
      <w:pPr>
        <w:numPr>
          <w:ilvl w:val="0"/>
          <w:numId w:val="1007"/>
        </w:numPr>
        <w:pStyle w:val="Compact"/>
      </w:pPr>
      <w:r>
        <w:t xml:space="preserve">Water Gap (MGD) = total demand - total supply</w:t>
      </w:r>
    </w:p>
    <w:p>
      <w:pPr>
        <w:numPr>
          <w:ilvl w:val="0"/>
          <w:numId w:val="1007"/>
        </w:numPr>
        <w:pStyle w:val="Compact"/>
      </w:pPr>
      <w:r>
        <w:t xml:space="preserve">Waste Processing Rate (%) = processed / generated * 100</w:t>
      </w:r>
    </w:p>
    <w:p>
      <w:pPr>
        <w:numPr>
          <w:ilvl w:val="0"/>
          <w:numId w:val="1007"/>
        </w:numPr>
        <w:pStyle w:val="Compact"/>
      </w:pPr>
      <w:r>
        <w:t xml:space="preserve">City Sustainability Score = mean of zone sustainability_score</w:t>
      </w:r>
    </w:p>
    <w:p>
      <w:pPr>
        <w:numPr>
          <w:ilvl w:val="0"/>
          <w:numId w:val="1007"/>
        </w:numPr>
        <w:pStyle w:val="Compact"/>
      </w:pPr>
      <w:r>
        <w:t xml:space="preserve">Network Resilience (%) = 1 - (directly impacted nodes / (N-1))</w:t>
      </w:r>
    </w:p>
    <w:bookmarkEnd w:id="31"/>
    <w:bookmarkStart w:id="32" w:name="scenario-used-in-policy-twin"/>
    <w:p>
      <w:pPr>
        <w:pStyle w:val="Heading3"/>
      </w:pPr>
      <w:r>
        <w:t xml:space="preserve">4.3 Scenario Used in Policy Twin</w:t>
      </w:r>
    </w:p>
    <w:p>
      <w:pPr>
        <w:numPr>
          <w:ilvl w:val="0"/>
          <w:numId w:val="1008"/>
        </w:numPr>
        <w:pStyle w:val="Compact"/>
      </w:pPr>
      <w:r>
        <w:t xml:space="preserve">Horizon: 2025-2035</w:t>
      </w:r>
    </w:p>
    <w:p>
      <w:pPr>
        <w:numPr>
          <w:ilvl w:val="0"/>
          <w:numId w:val="1008"/>
        </w:numPr>
        <w:pStyle w:val="Compact"/>
      </w:pPr>
      <w:r>
        <w:t xml:space="preserve">Intervention mix: solar 30%, waste 25%, green 20%, water 25%, EV 20%, public transport 25%</w:t>
      </w:r>
    </w:p>
    <w:p>
      <w:r>
        <w:pict>
          <v:rect style="width:0;height:1.5pt" o:hralign="center" o:hrstd="t" o:hr="t"/>
        </w:pict>
      </w:r>
    </w:p>
    <w:bookmarkEnd w:id="32"/>
    <w:bookmarkEnd w:id="33"/>
    <w:bookmarkStart w:id="40" w:name="results-and-findings"/>
    <w:p>
      <w:pPr>
        <w:pStyle w:val="Heading2"/>
      </w:pPr>
      <w:r>
        <w:t xml:space="preserve">5. Results and Findings</w:t>
      </w:r>
    </w:p>
    <w:bookmarkStart w:id="34" w:name="city-level-performance-snapshot"/>
    <w:p>
      <w:pPr>
        <w:pStyle w:val="Heading3"/>
      </w:pPr>
      <w:r>
        <w:t xml:space="preserve">5.1 City-Level Performance Snapshot</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right"/>
            </w:pPr>
            <w:r>
              <w:t xml:space="preserve">2025 Baseline</w:t>
            </w:r>
          </w:p>
        </w:tc>
        <w:tc>
          <w:p>
            <w:pPr>
              <w:pStyle w:val="Compact"/>
              <w:jc w:val="right"/>
            </w:pPr>
            <w:r>
              <w:t xml:space="preserve">2030 Latest</w:t>
            </w:r>
          </w:p>
        </w:tc>
        <w:tc>
          <w:p>
            <w:pPr>
              <w:pStyle w:val="Compact"/>
              <w:jc w:val="right"/>
            </w:pPr>
            <w:r>
              <w:t xml:space="preserve">Delta</w:t>
            </w:r>
          </w:p>
        </w:tc>
      </w:tr>
      <w:tr>
        <w:tc>
          <w:p>
            <w:pPr>
              <w:pStyle w:val="Compact"/>
              <w:jc w:val="left"/>
            </w:pPr>
            <w:r>
              <w:t xml:space="preserve">Population (total)</w:t>
            </w:r>
          </w:p>
        </w:tc>
        <w:tc>
          <w:p>
            <w:pPr>
              <w:pStyle w:val="Compact"/>
              <w:jc w:val="right"/>
            </w:pPr>
            <w:r>
              <w:t xml:space="preserve">29.91 M</w:t>
            </w:r>
          </w:p>
        </w:tc>
        <w:tc>
          <w:p>
            <w:pPr>
              <w:pStyle w:val="Compact"/>
              <w:jc w:val="right"/>
            </w:pPr>
            <w:r>
              <w:t xml:space="preserve">33.06 M</w:t>
            </w:r>
          </w:p>
        </w:tc>
        <w:tc>
          <w:p>
            <w:pPr>
              <w:pStyle w:val="Compact"/>
              <w:jc w:val="right"/>
            </w:pPr>
            <w:r>
              <w:t xml:space="preserve">+3.15 M</w:t>
            </w:r>
          </w:p>
        </w:tc>
      </w:tr>
      <w:tr>
        <w:tc>
          <w:p>
            <w:pPr>
              <w:pStyle w:val="Compact"/>
              <w:jc w:val="left"/>
            </w:pPr>
            <w:r>
              <w:t xml:space="preserve">Water Supply (MGD)</w:t>
            </w:r>
          </w:p>
        </w:tc>
        <w:tc>
          <w:p>
            <w:pPr>
              <w:pStyle w:val="Compact"/>
              <w:jc w:val="right"/>
            </w:pPr>
            <w:r>
              <w:t xml:space="preserve">968</w:t>
            </w:r>
          </w:p>
        </w:tc>
        <w:tc>
          <w:p>
            <w:pPr>
              <w:pStyle w:val="Compact"/>
              <w:jc w:val="right"/>
            </w:pPr>
            <w:r>
              <w:t xml:space="preserve">1008</w:t>
            </w:r>
          </w:p>
        </w:tc>
        <w:tc>
          <w:p>
            <w:pPr>
              <w:pStyle w:val="Compact"/>
              <w:jc w:val="right"/>
            </w:pPr>
            <w:r>
              <w:t xml:space="preserve">+40</w:t>
            </w:r>
          </w:p>
        </w:tc>
      </w:tr>
      <w:tr>
        <w:tc>
          <w:p>
            <w:pPr>
              <w:pStyle w:val="Compact"/>
              <w:jc w:val="left"/>
            </w:pPr>
            <w:r>
              <w:t xml:space="preserve">Water Demand (MGD)</w:t>
            </w:r>
          </w:p>
        </w:tc>
        <w:tc>
          <w:p>
            <w:pPr>
              <w:pStyle w:val="Compact"/>
              <w:jc w:val="right"/>
            </w:pPr>
            <w:r>
              <w:t xml:space="preserve">1562</w:t>
            </w:r>
          </w:p>
        </w:tc>
        <w:tc>
          <w:p>
            <w:pPr>
              <w:pStyle w:val="Compact"/>
              <w:jc w:val="right"/>
            </w:pPr>
            <w:r>
              <w:t xml:space="preserve">1772</w:t>
            </w:r>
          </w:p>
        </w:tc>
        <w:tc>
          <w:p>
            <w:pPr>
              <w:pStyle w:val="Compact"/>
              <w:jc w:val="right"/>
            </w:pPr>
            <w:r>
              <w:t xml:space="preserve">+210</w:t>
            </w:r>
          </w:p>
        </w:tc>
      </w:tr>
      <w:tr>
        <w:tc>
          <w:p>
            <w:pPr>
              <w:pStyle w:val="Compact"/>
              <w:jc w:val="left"/>
            </w:pPr>
            <w:r>
              <w:rPr>
                <w:bCs/>
                <w:b/>
              </w:rPr>
              <w:t xml:space="preserve">Water Gap (MGD)</w:t>
            </w:r>
          </w:p>
        </w:tc>
        <w:tc>
          <w:p>
            <w:pPr>
              <w:pStyle w:val="Compact"/>
              <w:jc w:val="right"/>
            </w:pPr>
            <w:r>
              <w:rPr>
                <w:bCs/>
                <w:b/>
              </w:rPr>
              <w:t xml:space="preserve">594</w:t>
            </w:r>
          </w:p>
        </w:tc>
        <w:tc>
          <w:p>
            <w:pPr>
              <w:pStyle w:val="Compact"/>
              <w:jc w:val="right"/>
            </w:pPr>
            <w:r>
              <w:rPr>
                <w:bCs/>
                <w:b/>
              </w:rPr>
              <w:t xml:space="preserve">764</w:t>
            </w:r>
          </w:p>
        </w:tc>
        <w:tc>
          <w:p>
            <w:pPr>
              <w:pStyle w:val="Compact"/>
              <w:jc w:val="right"/>
            </w:pPr>
            <w:r>
              <w:rPr>
                <w:bCs/>
                <w:b/>
              </w:rPr>
              <w:t xml:space="preserve">+170</w:t>
            </w:r>
          </w:p>
        </w:tc>
      </w:tr>
      <w:tr>
        <w:tc>
          <w:p>
            <w:pPr>
              <w:pStyle w:val="Compact"/>
              <w:jc w:val="left"/>
            </w:pPr>
            <w:r>
              <w:t xml:space="preserve">Renewable Share (avg %)</w:t>
            </w:r>
          </w:p>
        </w:tc>
        <w:tc>
          <w:p>
            <w:pPr>
              <w:pStyle w:val="Compact"/>
              <w:jc w:val="right"/>
            </w:pPr>
            <w:r>
              <w:t xml:space="preserve">1.70</w:t>
            </w:r>
          </w:p>
        </w:tc>
        <w:tc>
          <w:p>
            <w:pPr>
              <w:pStyle w:val="Compact"/>
              <w:jc w:val="right"/>
            </w:pPr>
            <w:r>
              <w:t xml:space="preserve">2.27</w:t>
            </w:r>
          </w:p>
        </w:tc>
        <w:tc>
          <w:p>
            <w:pPr>
              <w:pStyle w:val="Compact"/>
              <w:jc w:val="right"/>
            </w:pPr>
            <w:r>
              <w:t xml:space="preserve">+0.57 pp</w:t>
            </w:r>
          </w:p>
        </w:tc>
      </w:tr>
      <w:tr>
        <w:tc>
          <w:p>
            <w:pPr>
              <w:pStyle w:val="Compact"/>
              <w:jc w:val="left"/>
            </w:pPr>
            <w:r>
              <w:t xml:space="preserve">Waste Generated (TPD)</w:t>
            </w:r>
          </w:p>
        </w:tc>
        <w:tc>
          <w:p>
            <w:pPr>
              <w:pStyle w:val="Compact"/>
              <w:jc w:val="right"/>
            </w:pPr>
            <w:r>
              <w:t xml:space="preserve">11,980</w:t>
            </w:r>
          </w:p>
        </w:tc>
        <w:tc>
          <w:p>
            <w:pPr>
              <w:pStyle w:val="Compact"/>
              <w:jc w:val="right"/>
            </w:pPr>
            <w:r>
              <w:t xml:space="preserve">13,380</w:t>
            </w:r>
          </w:p>
        </w:tc>
        <w:tc>
          <w:p>
            <w:pPr>
              <w:pStyle w:val="Compact"/>
              <w:jc w:val="right"/>
            </w:pPr>
            <w:r>
              <w:t xml:space="preserve">+1,400</w:t>
            </w:r>
          </w:p>
        </w:tc>
      </w:tr>
      <w:tr>
        <w:tc>
          <w:p>
            <w:pPr>
              <w:pStyle w:val="Compact"/>
              <w:jc w:val="left"/>
            </w:pPr>
            <w:r>
              <w:t xml:space="preserve">Waste Processed (TPD)</w:t>
            </w:r>
          </w:p>
        </w:tc>
        <w:tc>
          <w:p>
            <w:pPr>
              <w:pStyle w:val="Compact"/>
              <w:jc w:val="right"/>
            </w:pPr>
            <w:r>
              <w:t xml:space="preserve">9,358</w:t>
            </w:r>
          </w:p>
        </w:tc>
        <w:tc>
          <w:p>
            <w:pPr>
              <w:pStyle w:val="Compact"/>
              <w:jc w:val="right"/>
            </w:pPr>
            <w:r>
              <w:t xml:space="preserve">12,711</w:t>
            </w:r>
          </w:p>
        </w:tc>
        <w:tc>
          <w:p>
            <w:pPr>
              <w:pStyle w:val="Compact"/>
              <w:jc w:val="right"/>
            </w:pPr>
            <w:r>
              <w:t xml:space="preserve">+3,353</w:t>
            </w:r>
          </w:p>
        </w:tc>
      </w:tr>
      <w:tr>
        <w:tc>
          <w:p>
            <w:pPr>
              <w:pStyle w:val="Compact"/>
              <w:jc w:val="left"/>
            </w:pPr>
            <w:r>
              <w:rPr>
                <w:bCs/>
                <w:b/>
              </w:rPr>
              <w:t xml:space="preserve">Waste Processing (%)</w:t>
            </w:r>
          </w:p>
        </w:tc>
        <w:tc>
          <w:p>
            <w:pPr>
              <w:pStyle w:val="Compact"/>
              <w:jc w:val="right"/>
            </w:pPr>
            <w:r>
              <w:rPr>
                <w:bCs/>
                <w:b/>
              </w:rPr>
              <w:t xml:space="preserve">78.11</w:t>
            </w:r>
          </w:p>
        </w:tc>
        <w:tc>
          <w:p>
            <w:pPr>
              <w:pStyle w:val="Compact"/>
              <w:jc w:val="right"/>
            </w:pPr>
            <w:r>
              <w:rPr>
                <w:bCs/>
                <w:b/>
              </w:rPr>
              <w:t xml:space="preserve">95.00</w:t>
            </w:r>
          </w:p>
        </w:tc>
        <w:tc>
          <w:p>
            <w:pPr>
              <w:pStyle w:val="Compact"/>
              <w:jc w:val="right"/>
            </w:pPr>
            <w:r>
              <w:rPr>
                <w:bCs/>
                <w:b/>
              </w:rPr>
              <w:t xml:space="preserve">+16.89 pp</w:t>
            </w:r>
          </w:p>
        </w:tc>
      </w:tr>
      <w:tr>
        <w:tc>
          <w:p>
            <w:pPr>
              <w:pStyle w:val="Compact"/>
              <w:jc w:val="left"/>
            </w:pPr>
            <w:r>
              <w:t xml:space="preserve">Total GHG (MtCO2)</w:t>
            </w:r>
          </w:p>
        </w:tc>
        <w:tc>
          <w:p>
            <w:pPr>
              <w:pStyle w:val="Compact"/>
              <w:jc w:val="right"/>
            </w:pPr>
            <w:r>
              <w:t xml:space="preserve">56.50</w:t>
            </w:r>
          </w:p>
        </w:tc>
        <w:tc>
          <w:p>
            <w:pPr>
              <w:pStyle w:val="Compact"/>
              <w:jc w:val="right"/>
            </w:pPr>
            <w:r>
              <w:t xml:space="preserve">62.40</w:t>
            </w:r>
          </w:p>
        </w:tc>
        <w:tc>
          <w:p>
            <w:pPr>
              <w:pStyle w:val="Compact"/>
              <w:jc w:val="right"/>
            </w:pPr>
            <w:r>
              <w:t xml:space="preserve">+5.90</w:t>
            </w:r>
          </w:p>
        </w:tc>
      </w:tr>
      <w:tr>
        <w:tc>
          <w:p>
            <w:pPr>
              <w:pStyle w:val="Compact"/>
              <w:jc w:val="left"/>
            </w:pPr>
            <w:r>
              <w:rPr>
                <w:bCs/>
                <w:b/>
              </w:rPr>
              <w:t xml:space="preserve">Avg Sustainability Score</w:t>
            </w:r>
          </w:p>
        </w:tc>
        <w:tc>
          <w:p>
            <w:pPr>
              <w:pStyle w:val="Compact"/>
              <w:jc w:val="right"/>
            </w:pPr>
            <w:r>
              <w:rPr>
                <w:bCs/>
                <w:b/>
              </w:rPr>
              <w:t xml:space="preserve">60.22</w:t>
            </w:r>
          </w:p>
        </w:tc>
        <w:tc>
          <w:p>
            <w:pPr>
              <w:pStyle w:val="Compact"/>
              <w:jc w:val="right"/>
            </w:pPr>
            <w:r>
              <w:rPr>
                <w:bCs/>
                <w:b/>
              </w:rPr>
              <w:t xml:space="preserve">62.44</w:t>
            </w:r>
          </w:p>
        </w:tc>
        <w:tc>
          <w:p>
            <w:pPr>
              <w:pStyle w:val="Compact"/>
              <w:jc w:val="right"/>
            </w:pPr>
            <w:r>
              <w:rPr>
                <w:bCs/>
                <w:b/>
              </w:rPr>
              <w:t xml:space="preserve">+2.22</w:t>
            </w:r>
          </w:p>
        </w:tc>
      </w:tr>
    </w:tbl>
    <w:p>
      <w:pPr>
        <w:pStyle w:val="BodyText"/>
      </w:pPr>
      <w:r>
        <w:rPr>
          <w:bCs/>
          <w:b/>
        </w:rPr>
        <w:t xml:space="preserve">Interpretation:</w:t>
      </w:r>
      <w:r>
        <w:t xml:space="preserve"> </w:t>
      </w:r>
      <w:r>
        <w:t xml:space="preserve">Operational efficiency (especially waste processing) improves, but water stress and total emissions still worsen in absolute terms. This indicates partial decoupling without full resource-demand control.</w:t>
      </w:r>
    </w:p>
    <w:bookmarkEnd w:id="34"/>
    <w:bookmarkStart w:id="35" w:name="zone-level-equity-gap"/>
    <w:p>
      <w:pPr>
        <w:pStyle w:val="Heading3"/>
      </w:pPr>
      <w:r>
        <w:t xml:space="preserve">5.2 Zone-Level Equity Gap</w:t>
      </w:r>
    </w:p>
    <w:p>
      <w:pPr>
        <w:pStyle w:val="FirstParagraph"/>
      </w:pPr>
      <w:r>
        <w:rPr>
          <w:bCs/>
          <w:b/>
        </w:rPr>
        <w:t xml:space="preserve">Lowest-score zones (2030):</w:t>
      </w:r>
      <w:r>
        <w:t xml:space="preserve"> </w:t>
      </w:r>
      <w:r>
        <w:t xml:space="preserve">1. North-East: 8</w:t>
      </w:r>
      <w:r>
        <w:t xml:space="preserve"> </w:t>
      </w:r>
      <w:r>
        <w:t xml:space="preserve">2. East: 27</w:t>
      </w:r>
      <w:r>
        <w:t xml:space="preserve"> </w:t>
      </w:r>
      <w:r>
        <w:t xml:space="preserve">3. South-East: 70</w:t>
      </w:r>
    </w:p>
    <w:p>
      <w:pPr>
        <w:pStyle w:val="BodyText"/>
      </w:pPr>
      <w:r>
        <w:rPr>
          <w:bCs/>
          <w:b/>
        </w:rPr>
        <w:t xml:space="preserve">Highest-score zones (2030):</w:t>
      </w:r>
      <w:r>
        <w:t xml:space="preserve"> </w:t>
      </w:r>
      <w:r>
        <w:t xml:space="preserve">1. South: 80</w:t>
      </w:r>
      <w:r>
        <w:t xml:space="preserve"> </w:t>
      </w:r>
      <w:r>
        <w:t xml:space="preserve">2. South-West: 78</w:t>
      </w:r>
      <w:r>
        <w:t xml:space="preserve"> </w:t>
      </w:r>
      <w:r>
        <w:t xml:space="preserve">3. Central: 77</w:t>
      </w:r>
    </w:p>
    <w:p>
      <w:pPr>
        <w:pStyle w:val="BodyText"/>
      </w:pPr>
      <w:r>
        <w:t xml:space="preserve">This spread indicates severe inter-zone inequality and supports zone-prioritized intervention sequencing.</w:t>
      </w:r>
    </w:p>
    <w:bookmarkEnd w:id="35"/>
    <w:bookmarkStart w:id="36" w:name="network-resilience-and-criticality"/>
    <w:p>
      <w:pPr>
        <w:pStyle w:val="Heading3"/>
      </w:pPr>
      <w:r>
        <w:t xml:space="preserve">5.3 Network Resilience and Criticality</w:t>
      </w:r>
    </w:p>
    <w:tbl>
      <w:tblPr>
        <w:tblStyle w:val="Table"/>
        <w:tblW w:type="pct" w:w="0.0"/>
        <w:tblLook w:firstRow="1" w:lastRow="0" w:firstColumn="0" w:lastColumn="0" w:noHBand="0" w:noVBand="0" w:val="0020"/>
      </w:tblPr>
      <w:tblGrid/>
      <w:tr>
        <w:tc>
          <w:p>
            <w:pPr>
              <w:pStyle w:val="Compact"/>
              <w:jc w:val="left"/>
            </w:pPr>
            <w:r>
              <w:t xml:space="preserve">Failed Zone</w:t>
            </w:r>
          </w:p>
        </w:tc>
        <w:tc>
          <w:p>
            <w:pPr>
              <w:pStyle w:val="Compact"/>
              <w:jc w:val="right"/>
            </w:pPr>
            <w:r>
              <w:t xml:space="preserve">Directly Impacted Zones</w:t>
            </w:r>
          </w:p>
        </w:tc>
        <w:tc>
          <w:p>
            <w:pPr>
              <w:pStyle w:val="Compact"/>
              <w:jc w:val="right"/>
            </w:pPr>
            <w:r>
              <w:t xml:space="preserve">Resilience (%)</w:t>
            </w:r>
          </w:p>
        </w:tc>
      </w:tr>
      <w:tr>
        <w:tc>
          <w:p>
            <w:pPr>
              <w:pStyle w:val="Compact"/>
              <w:jc w:val="left"/>
            </w:pPr>
            <w:r>
              <w:t xml:space="preserve">Central</w:t>
            </w:r>
          </w:p>
        </w:tc>
        <w:tc>
          <w:p>
            <w:pPr>
              <w:pStyle w:val="Compact"/>
              <w:jc w:val="right"/>
            </w:pPr>
            <w:r>
              <w:t xml:space="preserve">4</w:t>
            </w:r>
          </w:p>
        </w:tc>
        <w:tc>
          <w:p>
            <w:pPr>
              <w:pStyle w:val="Compact"/>
              <w:jc w:val="right"/>
            </w:pPr>
            <w:r>
              <w:t xml:space="preserve">50.0</w:t>
            </w:r>
          </w:p>
        </w:tc>
      </w:tr>
      <w:tr>
        <w:tc>
          <w:p>
            <w:pPr>
              <w:pStyle w:val="Compact"/>
              <w:jc w:val="left"/>
            </w:pPr>
            <w:r>
              <w:t xml:space="preserve">North</w:t>
            </w:r>
          </w:p>
        </w:tc>
        <w:tc>
          <w:p>
            <w:pPr>
              <w:pStyle w:val="Compact"/>
              <w:jc w:val="right"/>
            </w:pPr>
            <w:r>
              <w:t xml:space="preserve">3</w:t>
            </w:r>
          </w:p>
        </w:tc>
        <w:tc>
          <w:p>
            <w:pPr>
              <w:pStyle w:val="Compact"/>
              <w:jc w:val="right"/>
            </w:pPr>
            <w:r>
              <w:t xml:space="preserve">62.5</w:t>
            </w:r>
          </w:p>
        </w:tc>
      </w:tr>
      <w:tr>
        <w:tc>
          <w:p>
            <w:pPr>
              <w:pStyle w:val="Compact"/>
              <w:jc w:val="left"/>
            </w:pPr>
            <w:r>
              <w:t xml:space="preserve">North-East</w:t>
            </w:r>
          </w:p>
        </w:tc>
        <w:tc>
          <w:p>
            <w:pPr>
              <w:pStyle w:val="Compact"/>
              <w:jc w:val="right"/>
            </w:pPr>
            <w:r>
              <w:t xml:space="preserve">3</w:t>
            </w:r>
          </w:p>
        </w:tc>
        <w:tc>
          <w:p>
            <w:pPr>
              <w:pStyle w:val="Compact"/>
              <w:jc w:val="right"/>
            </w:pPr>
            <w:r>
              <w:t xml:space="preserve">62.5</w:t>
            </w:r>
          </w:p>
        </w:tc>
      </w:tr>
      <w:tr>
        <w:tc>
          <w:p>
            <w:pPr>
              <w:pStyle w:val="Compact"/>
              <w:jc w:val="left"/>
            </w:pPr>
            <w:r>
              <w:t xml:space="preserve">North-West</w:t>
            </w:r>
          </w:p>
        </w:tc>
        <w:tc>
          <w:p>
            <w:pPr>
              <w:pStyle w:val="Compact"/>
              <w:jc w:val="right"/>
            </w:pPr>
            <w:r>
              <w:t xml:space="preserve">3</w:t>
            </w:r>
          </w:p>
        </w:tc>
        <w:tc>
          <w:p>
            <w:pPr>
              <w:pStyle w:val="Compact"/>
              <w:jc w:val="right"/>
            </w:pPr>
            <w:r>
              <w:t xml:space="preserve">62.5</w:t>
            </w:r>
          </w:p>
        </w:tc>
      </w:tr>
      <w:tr>
        <w:tc>
          <w:p>
            <w:pPr>
              <w:pStyle w:val="Compact"/>
              <w:jc w:val="left"/>
            </w:pPr>
            <w:r>
              <w:t xml:space="preserve">South</w:t>
            </w:r>
          </w:p>
        </w:tc>
        <w:tc>
          <w:p>
            <w:pPr>
              <w:pStyle w:val="Compact"/>
              <w:jc w:val="right"/>
            </w:pPr>
            <w:r>
              <w:t xml:space="preserve">3</w:t>
            </w:r>
          </w:p>
        </w:tc>
        <w:tc>
          <w:p>
            <w:pPr>
              <w:pStyle w:val="Compact"/>
              <w:jc w:val="right"/>
            </w:pPr>
            <w:r>
              <w:t xml:space="preserve">62.5</w:t>
            </w:r>
          </w:p>
        </w:tc>
      </w:tr>
      <w:tr>
        <w:tc>
          <w:p>
            <w:pPr>
              <w:pStyle w:val="Compact"/>
              <w:jc w:val="left"/>
            </w:pPr>
            <w:r>
              <w:t xml:space="preserve">East</w:t>
            </w:r>
          </w:p>
        </w:tc>
        <w:tc>
          <w:p>
            <w:pPr>
              <w:pStyle w:val="Compact"/>
              <w:jc w:val="right"/>
            </w:pPr>
            <w:r>
              <w:t xml:space="preserve">2</w:t>
            </w:r>
          </w:p>
        </w:tc>
        <w:tc>
          <w:p>
            <w:pPr>
              <w:pStyle w:val="Compact"/>
              <w:jc w:val="right"/>
            </w:pPr>
            <w:r>
              <w:t xml:space="preserve">75.0</w:t>
            </w:r>
          </w:p>
        </w:tc>
      </w:tr>
      <w:tr>
        <w:tc>
          <w:p>
            <w:pPr>
              <w:pStyle w:val="Compact"/>
              <w:jc w:val="left"/>
            </w:pPr>
            <w:r>
              <w:t xml:space="preserve">South-East</w:t>
            </w:r>
          </w:p>
        </w:tc>
        <w:tc>
          <w:p>
            <w:pPr>
              <w:pStyle w:val="Compact"/>
              <w:jc w:val="right"/>
            </w:pPr>
            <w:r>
              <w:t xml:space="preserve">2</w:t>
            </w:r>
          </w:p>
        </w:tc>
        <w:tc>
          <w:p>
            <w:pPr>
              <w:pStyle w:val="Compact"/>
              <w:jc w:val="right"/>
            </w:pPr>
            <w:r>
              <w:t xml:space="preserve">75.0</w:t>
            </w:r>
          </w:p>
        </w:tc>
      </w:tr>
      <w:tr>
        <w:tc>
          <w:p>
            <w:pPr>
              <w:pStyle w:val="Compact"/>
              <w:jc w:val="left"/>
            </w:pPr>
            <w:r>
              <w:t xml:space="preserve">South-West</w:t>
            </w:r>
          </w:p>
        </w:tc>
        <w:tc>
          <w:p>
            <w:pPr>
              <w:pStyle w:val="Compact"/>
              <w:jc w:val="right"/>
            </w:pPr>
            <w:r>
              <w:t xml:space="preserve">2</w:t>
            </w:r>
          </w:p>
        </w:tc>
        <w:tc>
          <w:p>
            <w:pPr>
              <w:pStyle w:val="Compact"/>
              <w:jc w:val="right"/>
            </w:pPr>
            <w:r>
              <w:t xml:space="preserve">75.0</w:t>
            </w:r>
          </w:p>
        </w:tc>
      </w:tr>
      <w:tr>
        <w:tc>
          <w:p>
            <w:pPr>
              <w:pStyle w:val="Compact"/>
              <w:jc w:val="left"/>
            </w:pPr>
            <w:r>
              <w:t xml:space="preserve">West</w:t>
            </w:r>
          </w:p>
        </w:tc>
        <w:tc>
          <w:p>
            <w:pPr>
              <w:pStyle w:val="Compact"/>
              <w:jc w:val="right"/>
            </w:pPr>
            <w:r>
              <w:t xml:space="preserve">2</w:t>
            </w:r>
          </w:p>
        </w:tc>
        <w:tc>
          <w:p>
            <w:pPr>
              <w:pStyle w:val="Compact"/>
              <w:jc w:val="right"/>
            </w:pPr>
            <w:r>
              <w:t xml:space="preserve">75.0</w:t>
            </w:r>
          </w:p>
        </w:tc>
      </w:tr>
    </w:tbl>
    <w:p>
      <w:pPr>
        <w:pStyle w:val="BodyText"/>
      </w:pPr>
      <w:r>
        <w:rPr>
          <w:bCs/>
          <w:b/>
        </w:rPr>
        <w:t xml:space="preserve">Key risk insight:</w:t>
      </w:r>
      <w:r>
        <w:t xml:space="preserve"> </w:t>
      </w:r>
      <w:r>
        <w:t xml:space="preserve">Central is the highest systemic-risk node and should be treated as priority hardening zone for redundancy planning.</w:t>
      </w:r>
    </w:p>
    <w:bookmarkEnd w:id="36"/>
    <w:bookmarkStart w:id="37" w:name="policy-twin-outcome-2025-2035"/>
    <w:p>
      <w:pPr>
        <w:pStyle w:val="Heading3"/>
      </w:pPr>
      <w:r>
        <w:t xml:space="preserve">5.4 Policy Twin Outcome (2025-2035)</w:t>
      </w:r>
    </w:p>
    <w:p>
      <w:pPr>
        <w:numPr>
          <w:ilvl w:val="0"/>
          <w:numId w:val="1009"/>
        </w:numPr>
        <w:pStyle w:val="Compact"/>
      </w:pPr>
      <w:r>
        <w:t xml:space="preserve">Baseline 2035 average score:</w:t>
      </w:r>
      <w:r>
        <w:t xml:space="preserve"> </w:t>
      </w:r>
      <w:r>
        <w:rPr>
          <w:bCs/>
          <w:b/>
        </w:rPr>
        <w:t xml:space="preserve">61.24</w:t>
      </w:r>
    </w:p>
    <w:p>
      <w:pPr>
        <w:numPr>
          <w:ilvl w:val="0"/>
          <w:numId w:val="1009"/>
        </w:numPr>
        <w:pStyle w:val="Compact"/>
      </w:pPr>
      <w:r>
        <w:t xml:space="preserve">Live policy 2035 average score:</w:t>
      </w:r>
      <w:r>
        <w:t xml:space="preserve"> </w:t>
      </w:r>
      <w:r>
        <w:rPr>
          <w:bCs/>
          <w:b/>
        </w:rPr>
        <w:t xml:space="preserve">66.32</w:t>
      </w:r>
    </w:p>
    <w:p>
      <w:pPr>
        <w:numPr>
          <w:ilvl w:val="0"/>
          <w:numId w:val="1009"/>
        </w:numPr>
        <w:pStyle w:val="Compact"/>
      </w:pPr>
      <w:r>
        <w:rPr>
          <w:bCs/>
          <w:b/>
        </w:rPr>
        <w:t xml:space="preserve">Score gain:</w:t>
      </w:r>
      <w:r>
        <w:t xml:space="preserve"> </w:t>
      </w:r>
      <w:r>
        <w:rPr>
          <w:bCs/>
          <w:b/>
        </w:rPr>
        <w:t xml:space="preserve">+5.08 points</w:t>
      </w:r>
    </w:p>
    <w:p>
      <w:pPr>
        <w:numPr>
          <w:ilvl w:val="0"/>
          <w:numId w:val="1009"/>
        </w:numPr>
        <w:pStyle w:val="Compact"/>
      </w:pPr>
      <w:r>
        <w:t xml:space="preserve">Baseline 2035 GHG:</w:t>
      </w:r>
      <w:r>
        <w:t xml:space="preserve"> </w:t>
      </w:r>
      <w:r>
        <w:rPr>
          <w:bCs/>
          <w:b/>
        </w:rPr>
        <w:t xml:space="preserve">72.42 MtCO2</w:t>
      </w:r>
    </w:p>
    <w:p>
      <w:pPr>
        <w:numPr>
          <w:ilvl w:val="0"/>
          <w:numId w:val="1009"/>
        </w:numPr>
        <w:pStyle w:val="Compact"/>
      </w:pPr>
      <w:r>
        <w:t xml:space="preserve">Live policy 2035 GHG:</w:t>
      </w:r>
      <w:r>
        <w:t xml:space="preserve"> </w:t>
      </w:r>
      <w:r>
        <w:rPr>
          <w:bCs/>
          <w:b/>
        </w:rPr>
        <w:t xml:space="preserve">62.93 MtCO2</w:t>
      </w:r>
    </w:p>
    <w:p>
      <w:pPr>
        <w:numPr>
          <w:ilvl w:val="0"/>
          <w:numId w:val="1009"/>
        </w:numPr>
        <w:pStyle w:val="Compact"/>
      </w:pPr>
      <w:r>
        <w:rPr>
          <w:bCs/>
          <w:b/>
        </w:rPr>
        <w:t xml:space="preserve">GHG reduction vs baseline:</w:t>
      </w:r>
      <w:r>
        <w:t xml:space="preserve"> </w:t>
      </w:r>
      <w:r>
        <w:rPr>
          <w:bCs/>
          <w:b/>
        </w:rPr>
        <w:t xml:space="preserve">9.49 MtCO2</w:t>
      </w:r>
    </w:p>
    <w:p>
      <w:pPr>
        <w:pStyle w:val="FirstParagraph"/>
      </w:pPr>
      <w:r>
        <w:t xml:space="preserve">This confirms that blended interventions outperform isolated actions for both score and emissions trajectory.</w:t>
      </w:r>
    </w:p>
    <w:bookmarkEnd w:id="37"/>
    <w:bookmarkStart w:id="38" w:name="stress-test-signal"/>
    <w:p>
      <w:pPr>
        <w:pStyle w:val="Heading3"/>
      </w:pPr>
      <w:r>
        <w:t xml:space="preserve">5.5 Stress Test Signal</w:t>
      </w:r>
    </w:p>
    <w:p>
      <w:pPr>
        <w:pStyle w:val="FirstParagraph"/>
      </w:pPr>
      <w:r>
        <w:t xml:space="preserve">With default stress assumptions (2.5% annual population growth, low supply growth), all zones enter</w:t>
      </w:r>
      <w:r>
        <w:t xml:space="preserve"> </w:t>
      </w:r>
      <w:r>
        <w:rPr>
          <w:bCs/>
          <w:b/>
        </w:rPr>
        <w:t xml:space="preserve">Critical</w:t>
      </w:r>
      <w:r>
        <w:t xml:space="preserve"> </w:t>
      </w:r>
      <w:r>
        <w:t xml:space="preserve">risk category, with immediate water capacity stress triggers.</w:t>
      </w:r>
      <w:r>
        <w:br/>
      </w:r>
      <w:r>
        <w:t xml:space="preserve">This is a strong early-warning indicator for water-first policy prioritization.</w:t>
      </w:r>
    </w:p>
    <w:bookmarkEnd w:id="38"/>
    <w:bookmarkStart w:id="39" w:name="X684c0a40d5d4e82d60eb8ea6ad54251fc492d07"/>
    <w:p>
      <w:pPr>
        <w:pStyle w:val="Heading3"/>
      </w:pPr>
      <w:r>
        <w:t xml:space="preserve">5.6 Optimization Output (INR 1500 Cr, 5 MtCO2 target, 10-point minimum lift)</w:t>
      </w:r>
    </w:p>
    <w:p>
      <w:pPr>
        <w:numPr>
          <w:ilvl w:val="0"/>
          <w:numId w:val="1010"/>
        </w:numPr>
        <w:pStyle w:val="Compact"/>
      </w:pPr>
      <w:r>
        <w:t xml:space="preserve">Status: optimal</w:t>
      </w:r>
    </w:p>
    <w:p>
      <w:pPr>
        <w:numPr>
          <w:ilvl w:val="0"/>
          <w:numId w:val="1010"/>
        </w:numPr>
        <w:pStyle w:val="Compact"/>
      </w:pPr>
      <w:r>
        <w:t xml:space="preserve">Recommended mix emphasizes:</w:t>
      </w:r>
    </w:p>
    <w:p>
      <w:pPr>
        <w:numPr>
          <w:ilvl w:val="1"/>
          <w:numId w:val="1011"/>
        </w:numPr>
        <w:pStyle w:val="Compact"/>
      </w:pPr>
      <w:r>
        <w:t xml:space="preserve">water_conservation: 7.0 units</w:t>
      </w:r>
    </w:p>
    <w:p>
      <w:pPr>
        <w:numPr>
          <w:ilvl w:val="1"/>
          <w:numId w:val="1011"/>
        </w:numPr>
        <w:pStyle w:val="Compact"/>
      </w:pPr>
      <w:r>
        <w:t xml:space="preserve">public_transport: 1.8 units</w:t>
      </w:r>
    </w:p>
    <w:p>
      <w:pPr>
        <w:numPr>
          <w:ilvl w:val="0"/>
          <w:numId w:val="1010"/>
        </w:numPr>
        <w:pStyle w:val="Compact"/>
      </w:pPr>
      <w:r>
        <w:t xml:space="preserve">Projected impact:</w:t>
      </w:r>
    </w:p>
    <w:p>
      <w:pPr>
        <w:numPr>
          <w:ilvl w:val="1"/>
          <w:numId w:val="1012"/>
        </w:numPr>
        <w:pStyle w:val="Compact"/>
      </w:pPr>
      <w:r>
        <w:t xml:space="preserve">GHG reduction: 5.00 MtCO2</w:t>
      </w:r>
    </w:p>
    <w:p>
      <w:pPr>
        <w:numPr>
          <w:ilvl w:val="1"/>
          <w:numId w:val="1012"/>
        </w:numPr>
        <w:pStyle w:val="Compact"/>
      </w:pPr>
      <w:r>
        <w:t xml:space="preserve">Score lift: +24.60 points</w:t>
      </w:r>
    </w:p>
    <w:p>
      <w:pPr>
        <w:numPr>
          <w:ilvl w:val="1"/>
          <w:numId w:val="1012"/>
        </w:numPr>
        <w:pStyle w:val="Compact"/>
      </w:pPr>
      <w:r>
        <w:t xml:space="preserve">ROI: 16.4%</w:t>
      </w:r>
    </w:p>
    <w:p>
      <w:pPr>
        <w:numPr>
          <w:ilvl w:val="1"/>
          <w:numId w:val="1012"/>
        </w:numPr>
        <w:pStyle w:val="Compact"/>
      </w:pPr>
      <w:r>
        <w:t xml:space="preserve">Budget utilization: 100%</w:t>
      </w:r>
    </w:p>
    <w:p>
      <w:r>
        <w:pict>
          <v:rect style="width:0;height:1.5pt" o:hralign="center" o:hrstd="t" o:hr="t"/>
        </w:pict>
      </w:r>
    </w:p>
    <w:bookmarkEnd w:id="39"/>
    <w:bookmarkEnd w:id="40"/>
    <w:bookmarkStart w:id="44" w:name="governance-reliability-and-data-risks"/>
    <w:p>
      <w:pPr>
        <w:pStyle w:val="Heading2"/>
      </w:pPr>
      <w:r>
        <w:t xml:space="preserve">6. Governance, Reliability, and Data Risks</w:t>
      </w:r>
    </w:p>
    <w:bookmarkStart w:id="41" w:name="strengths"/>
    <w:p>
      <w:pPr>
        <w:pStyle w:val="Heading3"/>
      </w:pPr>
      <w:r>
        <w:t xml:space="preserve">6.1 Strengths</w:t>
      </w:r>
    </w:p>
    <w:p>
      <w:pPr>
        <w:numPr>
          <w:ilvl w:val="0"/>
          <w:numId w:val="1013"/>
        </w:numPr>
        <w:pStyle w:val="Compact"/>
      </w:pPr>
      <w:r>
        <w:t xml:space="preserve">Full-stack twin available in UI and API</w:t>
      </w:r>
    </w:p>
    <w:p>
      <w:pPr>
        <w:numPr>
          <w:ilvl w:val="0"/>
          <w:numId w:val="1013"/>
        </w:numPr>
        <w:pStyle w:val="Compact"/>
      </w:pPr>
      <w:r>
        <w:t xml:space="preserve">Fallback local simulation for backend-unavailable mode</w:t>
      </w:r>
    </w:p>
    <w:p>
      <w:pPr>
        <w:numPr>
          <w:ilvl w:val="0"/>
          <w:numId w:val="1013"/>
        </w:numPr>
        <w:pStyle w:val="Compact"/>
      </w:pPr>
      <w:r>
        <w:t xml:space="preserve">Explainability pipeline available for policy transparency</w:t>
      </w:r>
    </w:p>
    <w:p>
      <w:pPr>
        <w:numPr>
          <w:ilvl w:val="0"/>
          <w:numId w:val="1013"/>
        </w:numPr>
        <w:pStyle w:val="Compact"/>
      </w:pPr>
      <w:r>
        <w:t xml:space="preserve">Optimization and recommendation layers already integrated</w:t>
      </w:r>
    </w:p>
    <w:bookmarkEnd w:id="41"/>
    <w:bookmarkStart w:id="42" w:name="gaps"/>
    <w:p>
      <w:pPr>
        <w:pStyle w:val="Heading3"/>
      </w:pPr>
      <w:r>
        <w:t xml:space="preserve">6.2 Gaps</w:t>
      </w:r>
    </w:p>
    <w:p>
      <w:pPr>
        <w:numPr>
          <w:ilvl w:val="0"/>
          <w:numId w:val="1014"/>
        </w:numPr>
        <w:pStyle w:val="Compact"/>
      </w:pPr>
      <w:r>
        <w:t xml:space="preserve">Presence of long synthetic historical span (1800+) can distort naive analytics</w:t>
      </w:r>
    </w:p>
    <w:p>
      <w:pPr>
        <w:numPr>
          <w:ilvl w:val="0"/>
          <w:numId w:val="1014"/>
        </w:numPr>
        <w:pStyle w:val="Compact"/>
      </w:pPr>
      <w:r>
        <w:t xml:space="preserve">Scenario horizon handling should be standardized across backend and frontend paths</w:t>
      </w:r>
    </w:p>
    <w:p>
      <w:pPr>
        <w:numPr>
          <w:ilvl w:val="0"/>
          <w:numId w:val="1014"/>
        </w:numPr>
        <w:pStyle w:val="Compact"/>
      </w:pPr>
      <w:r>
        <w:t xml:space="preserve">KPI confidence intervals and uncertainty reporting should be made explicit in dashboard output</w:t>
      </w:r>
    </w:p>
    <w:bookmarkEnd w:id="42"/>
    <w:bookmarkStart w:id="43" w:name="control-recommendations"/>
    <w:p>
      <w:pPr>
        <w:pStyle w:val="Heading3"/>
      </w:pPr>
      <w:r>
        <w:t xml:space="preserve">6.3 Control Recommendations</w:t>
      </w:r>
    </w:p>
    <w:p>
      <w:pPr>
        <w:numPr>
          <w:ilvl w:val="0"/>
          <w:numId w:val="1015"/>
        </w:numPr>
        <w:pStyle w:val="Compact"/>
      </w:pPr>
      <w:r>
        <w:t xml:space="preserve">Enforce validated year window in ingestion and API contracts</w:t>
      </w:r>
    </w:p>
    <w:p>
      <w:pPr>
        <w:numPr>
          <w:ilvl w:val="0"/>
          <w:numId w:val="1015"/>
        </w:numPr>
        <w:pStyle w:val="Compact"/>
      </w:pPr>
      <w:r>
        <w:t xml:space="preserve">Add versioned scenario assumptions metadata to every simulation output</w:t>
      </w:r>
    </w:p>
    <w:p>
      <w:pPr>
        <w:numPr>
          <w:ilvl w:val="0"/>
          <w:numId w:val="1015"/>
        </w:numPr>
        <w:pStyle w:val="Compact"/>
      </w:pPr>
      <w:r>
        <w:t xml:space="preserve">Add model monitoring dashboards (drift, residual, threshold breach trends)</w:t>
      </w:r>
    </w:p>
    <w:p>
      <w:r>
        <w:pict>
          <v:rect style="width:0;height:1.5pt" o:hralign="center" o:hrstd="t" o:hr="t"/>
        </w:pict>
      </w:r>
    </w:p>
    <w:bookmarkEnd w:id="43"/>
    <w:bookmarkEnd w:id="44"/>
    <w:bookmarkStart w:id="49" w:name="implementation-roadmap-90-day-plan"/>
    <w:p>
      <w:pPr>
        <w:pStyle w:val="Heading2"/>
      </w:pPr>
      <w:r>
        <w:t xml:space="preserve">7. Implementation Roadmap (90-Day Plan)</w:t>
      </w:r>
    </w:p>
    <w:bookmarkStart w:id="45" w:name="X0db151a3c380136bfb08df8405301d46b1fb154"/>
    <w:p>
      <w:pPr>
        <w:pStyle w:val="Heading3"/>
      </w:pPr>
      <w:r>
        <w:t xml:space="preserve">Phase 1 (Weeks 1-3): Data Reliability Hardening</w:t>
      </w:r>
    </w:p>
    <w:p>
      <w:pPr>
        <w:numPr>
          <w:ilvl w:val="0"/>
          <w:numId w:val="1016"/>
        </w:numPr>
        <w:pStyle w:val="Compact"/>
      </w:pPr>
      <w:r>
        <w:t xml:space="preserve">Add strict year/domain validators</w:t>
      </w:r>
    </w:p>
    <w:p>
      <w:pPr>
        <w:numPr>
          <w:ilvl w:val="0"/>
          <w:numId w:val="1016"/>
        </w:numPr>
        <w:pStyle w:val="Compact"/>
      </w:pPr>
      <w:r>
        <w:t xml:space="preserve">Add QA checks for missing and extreme values</w:t>
      </w:r>
    </w:p>
    <w:p>
      <w:pPr>
        <w:numPr>
          <w:ilvl w:val="0"/>
          <w:numId w:val="1016"/>
        </w:numPr>
        <w:pStyle w:val="Compact"/>
      </w:pPr>
      <w:r>
        <w:t xml:space="preserve">Freeze a versioned planning dataset</w:t>
      </w:r>
    </w:p>
    <w:bookmarkEnd w:id="45"/>
    <w:bookmarkStart w:id="46" w:name="phase-2-weeks-4-7-twin-fidelity-upgrade"/>
    <w:p>
      <w:pPr>
        <w:pStyle w:val="Heading3"/>
      </w:pPr>
      <w:r>
        <w:t xml:space="preserve">Phase 2 (Weeks 4-7): Twin Fidelity Upgrade</w:t>
      </w:r>
    </w:p>
    <w:p>
      <w:pPr>
        <w:numPr>
          <w:ilvl w:val="0"/>
          <w:numId w:val="1017"/>
        </w:numPr>
        <w:pStyle w:val="Compact"/>
      </w:pPr>
      <w:r>
        <w:t xml:space="preserve">Add edge capacity saturation behavior</w:t>
      </w:r>
    </w:p>
    <w:p>
      <w:pPr>
        <w:numPr>
          <w:ilvl w:val="0"/>
          <w:numId w:val="1017"/>
        </w:numPr>
        <w:pStyle w:val="Compact"/>
      </w:pPr>
      <w:r>
        <w:t xml:space="preserve">Add multi-hop cascade severity propagation</w:t>
      </w:r>
    </w:p>
    <w:p>
      <w:pPr>
        <w:numPr>
          <w:ilvl w:val="0"/>
          <w:numId w:val="1017"/>
        </w:numPr>
        <w:pStyle w:val="Compact"/>
      </w:pPr>
      <w:r>
        <w:t xml:space="preserve">Add uncertainty bands for scenario outputs</w:t>
      </w:r>
    </w:p>
    <w:bookmarkEnd w:id="46"/>
    <w:bookmarkStart w:id="47" w:name="X4cd83d7e73121064651bc52270931c175b61acb"/>
    <w:p>
      <w:pPr>
        <w:pStyle w:val="Heading3"/>
      </w:pPr>
      <w:r>
        <w:t xml:space="preserve">Phase 3 (Weeks 8-10): Decision Ops Readiness</w:t>
      </w:r>
    </w:p>
    <w:p>
      <w:pPr>
        <w:numPr>
          <w:ilvl w:val="0"/>
          <w:numId w:val="1018"/>
        </w:numPr>
        <w:pStyle w:val="Compact"/>
      </w:pPr>
      <w:r>
        <w:t xml:space="preserve">Publish policy playbooks by zone risk tier</w:t>
      </w:r>
    </w:p>
    <w:p>
      <w:pPr>
        <w:numPr>
          <w:ilvl w:val="0"/>
          <w:numId w:val="1018"/>
        </w:numPr>
        <w:pStyle w:val="Compact"/>
      </w:pPr>
      <w:r>
        <w:t xml:space="preserve">Add monthly KPI scorecards and resilience SLAs</w:t>
      </w:r>
    </w:p>
    <w:p>
      <w:pPr>
        <w:numPr>
          <w:ilvl w:val="0"/>
          <w:numId w:val="1018"/>
        </w:numPr>
        <w:pStyle w:val="Compact"/>
      </w:pPr>
      <w:r>
        <w:t xml:space="preserve">Integrate alert-to-action workflow for planning teams</w:t>
      </w:r>
    </w:p>
    <w:bookmarkEnd w:id="47"/>
    <w:bookmarkStart w:id="48" w:name="phase-4-weeks-11-13-governance-and-scale"/>
    <w:p>
      <w:pPr>
        <w:pStyle w:val="Heading3"/>
      </w:pPr>
      <w:r>
        <w:t xml:space="preserve">Phase 4 (Weeks 11-13): Governance and Scale</w:t>
      </w:r>
    </w:p>
    <w:p>
      <w:pPr>
        <w:numPr>
          <w:ilvl w:val="0"/>
          <w:numId w:val="1019"/>
        </w:numPr>
        <w:pStyle w:val="Compact"/>
      </w:pPr>
      <w:r>
        <w:t xml:space="preserve">Create model governance register (owner, retrain cycle, approved use)</w:t>
      </w:r>
    </w:p>
    <w:p>
      <w:pPr>
        <w:numPr>
          <w:ilvl w:val="0"/>
          <w:numId w:val="1019"/>
        </w:numPr>
        <w:pStyle w:val="Compact"/>
      </w:pPr>
      <w:r>
        <w:t xml:space="preserve">Add audit logs for scenario runs and recommendation acceptance</w:t>
      </w:r>
    </w:p>
    <w:p>
      <w:pPr>
        <w:numPr>
          <w:ilvl w:val="0"/>
          <w:numId w:val="1019"/>
        </w:numPr>
        <w:pStyle w:val="Compact"/>
      </w:pPr>
      <w:r>
        <w:t xml:space="preserve">Prepare pilot handoff for zone-level implementation reviews</w:t>
      </w:r>
    </w:p>
    <w:p>
      <w:r>
        <w:pict>
          <v:rect style="width:0;height:1.5pt" o:hralign="center" o:hrstd="t" o:hr="t"/>
        </w:pict>
      </w:r>
    </w:p>
    <w:bookmarkEnd w:id="48"/>
    <w:bookmarkEnd w:id="49"/>
    <w:bookmarkStart w:id="50" w:name="conclusion"/>
    <w:p>
      <w:pPr>
        <w:pStyle w:val="Heading2"/>
      </w:pPr>
      <w:r>
        <w:t xml:space="preserve">8. Conclusion</w:t>
      </w:r>
    </w:p>
    <w:p>
      <w:pPr>
        <w:pStyle w:val="FirstParagraph"/>
      </w:pPr>
      <w:r>
        <w:t xml:space="preserve">The Sustainability Digital Twin capability in InfraVision is not a prototype-only layer; it is an operational planning instrument with measurable value. The system already demonstrates meaningful impact modeling, especially for scenario comparison and optimization-led policy design. However, water stress and emissions trajectories show that incremental gains are not enough without stronger intervention sequencing and governance controls.</w:t>
      </w:r>
    </w:p>
    <w:p>
      <w:pPr>
        <w:pStyle w:val="BodyText"/>
      </w:pPr>
      <w:r>
        <w:t xml:space="preserve">The most important strategic conclusion is clear:</w:t>
      </w:r>
      <w:r>
        <w:t xml:space="preserve"> </w:t>
      </w:r>
      <w:r>
        <w:rPr>
          <w:bCs/>
          <w:b/>
        </w:rPr>
        <w:t xml:space="preserve">Delhi requires water-first, central-node-resilience-first, and cross-sector policy coupling to convert score gains into durable sustainability outcomes.</w:t>
      </w:r>
    </w:p>
    <w:p>
      <w:r>
        <w:pict>
          <v:rect style="width:0;height:1.5pt" o:hralign="center" o:hrstd="t" o:hr="t"/>
        </w:pict>
      </w:r>
    </w:p>
    <w:bookmarkEnd w:id="50"/>
    <w:bookmarkStart w:id="51" w:name="references"/>
    <w:p>
      <w:pPr>
        <w:pStyle w:val="Heading2"/>
      </w:pPr>
      <w:r>
        <w:t xml:space="preserve">9. References</w:t>
      </w:r>
    </w:p>
    <w:p>
      <w:pPr>
        <w:numPr>
          <w:ilvl w:val="0"/>
          <w:numId w:val="1020"/>
        </w:numPr>
        <w:pStyle w:val="Compact"/>
      </w:pPr>
      <w:r>
        <w:rPr>
          <w:rStyle w:val="VerbatimChar"/>
        </w:rPr>
        <w:t xml:space="preserve">SUSTAINABILITY_INTELLIGENCE_README.md</w:t>
      </w:r>
      <w:r>
        <w:br/>
      </w:r>
    </w:p>
    <w:p>
      <w:pPr>
        <w:numPr>
          <w:ilvl w:val="0"/>
          <w:numId w:val="1020"/>
        </w:numPr>
        <w:pStyle w:val="Compact"/>
      </w:pPr>
      <w:r>
        <w:rPr>
          <w:rStyle w:val="VerbatimChar"/>
        </w:rPr>
        <w:t xml:space="preserve">infra-vision/app/sustainability-intelligence/digital-twin/page.tsx</w:t>
      </w:r>
      <w:r>
        <w:br/>
      </w:r>
    </w:p>
    <w:p>
      <w:pPr>
        <w:numPr>
          <w:ilvl w:val="0"/>
          <w:numId w:val="1020"/>
        </w:numPr>
        <w:pStyle w:val="Compact"/>
      </w:pPr>
      <w:r>
        <w:rPr>
          <w:rStyle w:val="VerbatimChar"/>
        </w:rPr>
        <w:t xml:space="preserve">infra-vision/lib/digitalTwinLocalGraph.ts</w:t>
      </w:r>
      <w:r>
        <w:br/>
      </w:r>
    </w:p>
    <w:p>
      <w:pPr>
        <w:numPr>
          <w:ilvl w:val="0"/>
          <w:numId w:val="1020"/>
        </w:numPr>
        <w:pStyle w:val="Compact"/>
      </w:pPr>
      <w:r>
        <w:rPr>
          <w:rStyle w:val="VerbatimChar"/>
        </w:rPr>
        <w:t xml:space="preserve">infra-vision/lib/policyTwinLocalData.ts</w:t>
      </w:r>
      <w:r>
        <w:br/>
      </w:r>
    </w:p>
    <w:p>
      <w:pPr>
        <w:numPr>
          <w:ilvl w:val="0"/>
          <w:numId w:val="1020"/>
        </w:numPr>
        <w:pStyle w:val="Compact"/>
      </w:pPr>
      <w:r>
        <w:rPr>
          <w:rStyle w:val="VerbatimChar"/>
        </w:rPr>
        <w:t xml:space="preserve">sustainability_api/simulation/city_graph.py</w:t>
      </w:r>
      <w:r>
        <w:br/>
      </w:r>
    </w:p>
    <w:p>
      <w:pPr>
        <w:numPr>
          <w:ilvl w:val="0"/>
          <w:numId w:val="1020"/>
        </w:numPr>
        <w:pStyle w:val="Compact"/>
      </w:pPr>
      <w:r>
        <w:rPr>
          <w:rStyle w:val="VerbatimChar"/>
        </w:rPr>
        <w:t xml:space="preserve">sustainability_api/simulation/scenario_engine.py</w:t>
      </w:r>
      <w:r>
        <w:br/>
      </w:r>
    </w:p>
    <w:p>
      <w:pPr>
        <w:numPr>
          <w:ilvl w:val="0"/>
          <w:numId w:val="1020"/>
        </w:numPr>
        <w:pStyle w:val="Compact"/>
      </w:pPr>
      <w:r>
        <w:rPr>
          <w:rStyle w:val="VerbatimChar"/>
        </w:rPr>
        <w:t xml:space="preserve">sustainability_api/optimization/lp_solver.py</w:t>
      </w:r>
      <w:r>
        <w:br/>
      </w:r>
    </w:p>
    <w:p>
      <w:pPr>
        <w:numPr>
          <w:ilvl w:val="0"/>
          <w:numId w:val="1020"/>
        </w:numPr>
        <w:pStyle w:val="Compact"/>
      </w:pPr>
      <w:r>
        <w:rPr>
          <w:rStyle w:val="VerbatimChar"/>
        </w:rPr>
        <w:t xml:space="preserve">sustainability_api/recommendation/rule_engine.py</w:t>
      </w:r>
      <w:r>
        <w:br/>
      </w:r>
    </w:p>
    <w:p>
      <w:pPr>
        <w:numPr>
          <w:ilvl w:val="0"/>
          <w:numId w:val="1020"/>
        </w:numPr>
        <w:pStyle w:val="Compact"/>
      </w:pPr>
      <w:r>
        <w:t xml:space="preserve">Yessef, M. et al. (2025).</w:t>
      </w:r>
      <w:r>
        <w:t xml:space="preserve"> </w:t>
      </w:r>
      <w:r>
        <w:rPr>
          <w:iCs/>
          <w:i/>
        </w:rPr>
        <w:t xml:space="preserve">Digital twin technology in smart cities: A step toward intelligent urban management</w:t>
      </w:r>
      <w:r>
        <w:t xml:space="preserve">. Energy Reports, 14, 5539-5557.</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2026-04-21T10:27:34Z</dcterms:created>
  <dcterms:modified xsi:type="dcterms:W3CDTF">2026-04-21T10:27:34Z</dcterms:modified>
</cp:coreProperties>
</file>

<file path=docProps/custom.xml><?xml version="1.0" encoding="utf-8"?>
<Properties xmlns="http://schemas.openxmlformats.org/officeDocument/2006/custom-properties" xmlns:vt="http://schemas.openxmlformats.org/officeDocument/2006/docPropsVTypes"/>
</file>