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219C4955"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A8396E">
        <w:rPr>
          <w:noProof/>
          <w:sz w:val="24"/>
        </w:rPr>
        <w:t>07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Pr="00B46C24" w:rsidRDefault="00A3542C" w:rsidP="00A3542C">
      <w:pPr>
        <w:pStyle w:val="Heading1"/>
        <w:ind w:left="431" w:hanging="431"/>
      </w:pPr>
      <w:r w:rsidRPr="0067659D">
        <w:t xml:space="preserve">Related </w:t>
      </w:r>
      <w:r w:rsidR="000E586C">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w:t>
      </w:r>
      <w:proofErr w:type="gramStart"/>
      <w:r w:rsidRPr="00074E41">
        <w:rPr>
          <w:rFonts w:ascii="Times New Roman" w:hAnsi="Times New Roman"/>
          <w:b w:val="0"/>
          <w:bCs w:val="0"/>
          <w:iCs/>
          <w:kern w:val="0"/>
          <w:sz w:val="24"/>
          <w:szCs w:val="24"/>
          <w:lang w:val="en-IE"/>
        </w:rPr>
        <w:t>has to</w:t>
      </w:r>
      <w:proofErr w:type="gramEnd"/>
      <w:r w:rsidRPr="00074E41">
        <w:rPr>
          <w:rFonts w:ascii="Times New Roman" w:hAnsi="Times New Roman"/>
          <w:b w:val="0"/>
          <w:bCs w:val="0"/>
          <w:iCs/>
          <w:kern w:val="0"/>
          <w:sz w:val="24"/>
          <w:szCs w:val="24"/>
          <w:lang w:val="en-IE"/>
        </w:rPr>
        <w:t xml:space="preserve">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w:t>
      </w:r>
      <w:proofErr w:type="gramStart"/>
      <w:r w:rsidRPr="00074E41">
        <w:rPr>
          <w:rFonts w:ascii="Times New Roman" w:hAnsi="Times New Roman"/>
          <w:b w:val="0"/>
          <w:bCs w:val="0"/>
          <w:iCs/>
          <w:kern w:val="0"/>
          <w:sz w:val="24"/>
          <w:szCs w:val="24"/>
          <w:lang w:val="en-IE"/>
        </w:rPr>
        <w:t>have to</w:t>
      </w:r>
      <w:proofErr w:type="gramEnd"/>
      <w:r w:rsidRPr="00074E41">
        <w:rPr>
          <w:rFonts w:ascii="Times New Roman" w:hAnsi="Times New Roman"/>
          <w:b w:val="0"/>
          <w:bCs w:val="0"/>
          <w:iCs/>
          <w:kern w:val="0"/>
          <w:sz w:val="24"/>
          <w:szCs w:val="24"/>
          <w:lang w:val="en-IE"/>
        </w:rPr>
        <w:t xml:space="preserve">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 xml:space="preserve">Describe the purpose, </w:t>
      </w:r>
      <w:proofErr w:type="gramStart"/>
      <w:r w:rsidRPr="002C1D41">
        <w:rPr>
          <w:iCs/>
        </w:rPr>
        <w:t>motivation</w:t>
      </w:r>
      <w:proofErr w:type="gramEnd"/>
      <w:r w:rsidRPr="002C1D41">
        <w:rPr>
          <w:iCs/>
        </w:rPr>
        <w:t xml:space="preserve">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proofErr w:type="gramStart"/>
      <w:r w:rsidR="0023137F">
        <w:t>Sub</w:t>
      </w:r>
      <w:r>
        <w:t xml:space="preserve"> Heading</w:t>
      </w:r>
      <w:proofErr w:type="gramEnd"/>
      <w:r>
        <w:t xml:space="preserve">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proofErr w:type="gramStart"/>
      <w:r w:rsidR="004849A6">
        <w:t>Su</w:t>
      </w:r>
      <w:r w:rsidR="00837981" w:rsidRPr="00483A52">
        <w:t>b</w:t>
      </w:r>
      <w:proofErr w:type="spellEnd"/>
      <w:r w:rsidR="00837981" w:rsidRPr="00483A52">
        <w:t xml:space="preserve"> Heading</w:t>
      </w:r>
      <w:proofErr w:type="gramEnd"/>
      <w:r w:rsidR="00837981" w:rsidRPr="00483A52">
        <w:t xml:space="preserve">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proofErr w:type="gramStart"/>
      <w:r w:rsidR="00837981">
        <w:rPr>
          <w:iCs/>
        </w:rPr>
        <w:t>In order to</w:t>
      </w:r>
      <w:proofErr w:type="gramEnd"/>
      <w:r w:rsidR="00837981">
        <w:rPr>
          <w:iCs/>
        </w:rPr>
        <w:t xml:space="preserve">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w:t>
      </w:r>
      <w:proofErr w:type="gramStart"/>
      <w:r w:rsidRPr="00880D10">
        <w:t>time</w:t>
      </w:r>
      <w:proofErr w:type="gramEnd"/>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660314">
      <w:footerReference w:type="default" r:id="rId17"/>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1AC6" w14:textId="77777777" w:rsidR="00660314" w:rsidRDefault="00660314">
      <w:pPr>
        <w:spacing w:before="0" w:after="0"/>
      </w:pPr>
      <w:r>
        <w:separator/>
      </w:r>
    </w:p>
  </w:endnote>
  <w:endnote w:type="continuationSeparator" w:id="0">
    <w:p w14:paraId="63C2A560" w14:textId="77777777" w:rsidR="00660314" w:rsidRDefault="006603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5FC2" w14:textId="77777777" w:rsidR="00660314" w:rsidRDefault="00660314">
      <w:pPr>
        <w:spacing w:before="0" w:after="0"/>
      </w:pPr>
      <w:r>
        <w:separator/>
      </w:r>
    </w:p>
  </w:footnote>
  <w:footnote w:type="continuationSeparator" w:id="0">
    <w:p w14:paraId="3EF26A7B" w14:textId="77777777" w:rsidR="00660314" w:rsidRDefault="006603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C3AEC"/>
    <w:rsid w:val="004D33C6"/>
    <w:rsid w:val="004D6E61"/>
    <w:rsid w:val="004E0FB0"/>
    <w:rsid w:val="004E2BE8"/>
    <w:rsid w:val="004E588D"/>
    <w:rsid w:val="0052024E"/>
    <w:rsid w:val="005457E7"/>
    <w:rsid w:val="00545986"/>
    <w:rsid w:val="005515AC"/>
    <w:rsid w:val="005517D0"/>
    <w:rsid w:val="005771C9"/>
    <w:rsid w:val="005924D2"/>
    <w:rsid w:val="005A328B"/>
    <w:rsid w:val="005B148A"/>
    <w:rsid w:val="005E6DF0"/>
    <w:rsid w:val="005F1FED"/>
    <w:rsid w:val="005F7703"/>
    <w:rsid w:val="0062456F"/>
    <w:rsid w:val="006464D3"/>
    <w:rsid w:val="006464FA"/>
    <w:rsid w:val="00660314"/>
    <w:rsid w:val="0067659D"/>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31B3F"/>
    <w:rsid w:val="00D5748C"/>
    <w:rsid w:val="00D64AB7"/>
    <w:rsid w:val="00D77958"/>
    <w:rsid w:val="00D81AD6"/>
    <w:rsid w:val="00D92999"/>
    <w:rsid w:val="00DA642B"/>
    <w:rsid w:val="00DD41E0"/>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C5DD9"/>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12103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2</cp:revision>
  <cp:lastPrinted>2014-06-04T11:08:00Z</cp:lastPrinted>
  <dcterms:created xsi:type="dcterms:W3CDTF">2024-03-07T05:03:00Z</dcterms:created>
  <dcterms:modified xsi:type="dcterms:W3CDTF">2024-03-07T05:03:00Z</dcterms:modified>
</cp:coreProperties>
</file>