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A/B Test Decision Memo</w:t>
      </w:r>
    </w:p>
    <w:p>
      <w:pPr>
        <w:jc w:val="center"/>
      </w:pPr>
      <w:r>
        <w:rPr>
          <w:i/>
          <w:sz w:val="22"/>
        </w:rPr>
        <w:t>Ad Campaign vs. PSA Control — Conversion Rate Experiment</w:t>
      </w:r>
    </w:p>
    <w:p>
      <w:pPr>
        <w:spacing w:before="140" w:after="60"/>
      </w:pPr>
      <w:r>
        <w:rPr>
          <w:b/>
          <w:sz w:val="24"/>
        </w:rPr>
        <w:t>1. Context</w:t>
      </w:r>
    </w:p>
    <w:p>
      <w:r>
        <w:t>The experiment compared an advertising experience ("ad" group) with a small PSA control group. About 96% of users were in the ad group and 4% were shown a generic public service announcement instead. The main question was whether the ad campaign increased conversion compared with the PSA experience.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2F2F2"/>
          </w:tcPr>
          <w:p>
            <w:pPr>
              <w:spacing w:after="0"/>
            </w:pPr>
            <w:r>
              <w:t>Sample size</w:t>
            </w:r>
          </w:p>
        </w:tc>
        <w:tc>
          <w:tcPr>
            <w:tcW w:type="dxa" w:w="5112"/>
          </w:tcPr>
          <w:p>
            <w:pPr>
              <w:spacing w:after="0"/>
            </w:pPr>
            <w:r>
              <w:t>588,101 users (Ad: 564,577 | PSA: 23,524)</w:t>
            </w:r>
          </w:p>
        </w:tc>
      </w:tr>
      <w:tr>
        <w:tc>
          <w:tcPr>
            <w:tcW w:type="dxa" w:w="5112"/>
            <w:vAlign w:val="center"/>
            <w:shd w:fill="F2F2F2"/>
          </w:tcPr>
          <w:p>
            <w:pPr>
              <w:spacing w:after="0"/>
            </w:pPr>
            <w:r>
              <w:t>Primary metric</w:t>
            </w:r>
          </w:p>
        </w:tc>
        <w:tc>
          <w:tcPr>
            <w:tcW w:type="dxa" w:w="5112"/>
          </w:tcPr>
          <w:p>
            <w:pPr>
              <w:spacing w:after="0"/>
            </w:pPr>
            <w:r>
              <w:t>Conversion rate (converted / not converted)</w:t>
            </w:r>
          </w:p>
        </w:tc>
      </w:tr>
      <w:tr>
        <w:tc>
          <w:tcPr>
            <w:tcW w:type="dxa" w:w="5112"/>
            <w:vAlign w:val="center"/>
            <w:shd w:fill="F2F2F2"/>
          </w:tcPr>
          <w:p>
            <w:pPr>
              <w:spacing w:after="0"/>
            </w:pPr>
            <w:r>
              <w:t>Statistical test</w:t>
            </w:r>
          </w:p>
        </w:tc>
        <w:tc>
          <w:tcPr>
            <w:tcW w:type="dxa" w:w="5112"/>
          </w:tcPr>
          <w:p>
            <w:pPr>
              <w:spacing w:after="0"/>
            </w:pPr>
            <w:r>
              <w:t>Two-proportion z-test</w:t>
            </w:r>
          </w:p>
        </w:tc>
      </w:tr>
      <w:tr>
        <w:tc>
          <w:tcPr>
            <w:tcW w:type="dxa" w:w="5112"/>
            <w:vAlign w:val="center"/>
            <w:shd w:fill="F2F2F2"/>
          </w:tcPr>
          <w:p>
            <w:pPr>
              <w:spacing w:after="0"/>
            </w:pPr>
            <w:r>
              <w:t>Significance level</w:t>
            </w:r>
          </w:p>
        </w:tc>
        <w:tc>
          <w:tcPr>
            <w:tcW w:type="dxa" w:w="5112"/>
          </w:tcPr>
          <w:p>
            <w:pPr>
              <w:spacing w:after="0"/>
            </w:pPr>
            <w:r>
              <w:t>α = 0.05</w:t>
            </w:r>
          </w:p>
        </w:tc>
      </w:tr>
    </w:tbl>
    <w:p>
      <w:pPr>
        <w:spacing w:before="140" w:after="60"/>
      </w:pPr>
      <w:r>
        <w:rPr>
          <w:b/>
          <w:sz w:val="24"/>
        </w:rPr>
        <w:t>2. Results</w:t>
      </w:r>
    </w:p>
    <w:p>
      <w:r>
        <w:t>The sample ratio check did not show a mismatch. The observed allocation was consistent with the intended 96/4 design (χ² p = 0.9998).</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Metric</w:t>
            </w:r>
          </w:p>
        </w:tc>
        <w:tc>
          <w:tcPr>
            <w:tcW w:type="dxa" w:w="5112"/>
            <w:shd w:fill="D9EAF7"/>
          </w:tcPr>
          <w:p>
            <w:r>
              <w:rPr>
                <w:b/>
              </w:rPr>
              <w:t>Result</w:t>
            </w:r>
          </w:p>
        </w:tc>
      </w:tr>
      <w:tr>
        <w:tc>
          <w:tcPr>
            <w:tcW w:type="dxa" w:w="5112"/>
            <w:shd w:fill="F8F8F8"/>
          </w:tcPr>
          <w:p>
            <w:pPr>
              <w:spacing w:after="0"/>
            </w:pPr>
            <w:r>
              <w:t>Ad conversion rate</w:t>
            </w:r>
          </w:p>
        </w:tc>
        <w:tc>
          <w:tcPr>
            <w:tcW w:type="dxa" w:w="5112"/>
          </w:tcPr>
          <w:p>
            <w:pPr>
              <w:spacing w:after="0"/>
            </w:pPr>
            <w:r>
              <w:t>2.55%</w:t>
            </w:r>
          </w:p>
        </w:tc>
      </w:tr>
      <w:tr>
        <w:tc>
          <w:tcPr>
            <w:tcW w:type="dxa" w:w="5112"/>
            <w:shd w:fill="F8F8F8"/>
          </w:tcPr>
          <w:p>
            <w:pPr>
              <w:spacing w:after="0"/>
            </w:pPr>
            <w:r>
              <w:t>PSA conversion rate</w:t>
            </w:r>
          </w:p>
        </w:tc>
        <w:tc>
          <w:tcPr>
            <w:tcW w:type="dxa" w:w="5112"/>
          </w:tcPr>
          <w:p>
            <w:pPr>
              <w:spacing w:after="0"/>
            </w:pPr>
            <w:r>
              <w:t>1.79%</w:t>
            </w:r>
          </w:p>
        </w:tc>
      </w:tr>
      <w:tr>
        <w:tc>
          <w:tcPr>
            <w:tcW w:type="dxa" w:w="5112"/>
            <w:shd w:fill="F8F8F8"/>
          </w:tcPr>
          <w:p>
            <w:pPr>
              <w:spacing w:after="0"/>
            </w:pPr>
            <w:r>
              <w:t>Absolute lift</w:t>
            </w:r>
          </w:p>
        </w:tc>
        <w:tc>
          <w:tcPr>
            <w:tcW w:type="dxa" w:w="5112"/>
          </w:tcPr>
          <w:p>
            <w:pPr>
              <w:spacing w:after="0"/>
            </w:pPr>
            <w:r>
              <w:t>+0.77 percentage points</w:t>
            </w:r>
          </w:p>
        </w:tc>
      </w:tr>
      <w:tr>
        <w:tc>
          <w:tcPr>
            <w:tcW w:type="dxa" w:w="5112"/>
            <w:shd w:fill="F8F8F8"/>
          </w:tcPr>
          <w:p>
            <w:pPr>
              <w:spacing w:after="0"/>
            </w:pPr>
            <w:r>
              <w:t>95% confidence interval</w:t>
            </w:r>
          </w:p>
        </w:tc>
        <w:tc>
          <w:tcPr>
            <w:tcW w:type="dxa" w:w="5112"/>
          </w:tcPr>
          <w:p>
            <w:pPr>
              <w:spacing w:after="0"/>
            </w:pPr>
            <w:r>
              <w:t>+0.60 to +0.94 percentage points</w:t>
            </w:r>
          </w:p>
        </w:tc>
      </w:tr>
      <w:tr>
        <w:tc>
          <w:tcPr>
            <w:tcW w:type="dxa" w:w="5112"/>
            <w:shd w:fill="F8F8F8"/>
          </w:tcPr>
          <w:p>
            <w:pPr>
              <w:spacing w:after="0"/>
            </w:pPr>
            <w:r>
              <w:t>Relative lift</w:t>
            </w:r>
          </w:p>
        </w:tc>
        <w:tc>
          <w:tcPr>
            <w:tcW w:type="dxa" w:w="5112"/>
          </w:tcPr>
          <w:p>
            <w:pPr>
              <w:spacing w:after="0"/>
            </w:pPr>
            <w:r>
              <w:t>+43.1%</w:t>
            </w:r>
          </w:p>
        </w:tc>
      </w:tr>
      <w:tr>
        <w:tc>
          <w:tcPr>
            <w:tcW w:type="dxa" w:w="5112"/>
            <w:shd w:fill="F8F8F8"/>
          </w:tcPr>
          <w:p>
            <w:pPr>
              <w:spacing w:after="0"/>
            </w:pPr>
            <w:r>
              <w:t>z-statistic</w:t>
            </w:r>
          </w:p>
        </w:tc>
        <w:tc>
          <w:tcPr>
            <w:tcW w:type="dxa" w:w="5112"/>
          </w:tcPr>
          <w:p>
            <w:pPr>
              <w:spacing w:after="0"/>
            </w:pPr>
            <w:r>
              <w:t>7.37</w:t>
            </w:r>
          </w:p>
        </w:tc>
      </w:tr>
      <w:tr>
        <w:tc>
          <w:tcPr>
            <w:tcW w:type="dxa" w:w="5112"/>
            <w:shd w:fill="F8F8F8"/>
          </w:tcPr>
          <w:p>
            <w:pPr>
              <w:spacing w:after="0"/>
            </w:pPr>
            <w:r>
              <w:t>p-value</w:t>
            </w:r>
          </w:p>
        </w:tc>
        <w:tc>
          <w:tcPr>
            <w:tcW w:type="dxa" w:w="5112"/>
          </w:tcPr>
          <w:p>
            <w:pPr>
              <w:spacing w:after="0"/>
            </w:pPr>
            <w:r>
              <w:t>1.7 × 10⁻¹³</w:t>
            </w:r>
          </w:p>
        </w:tc>
      </w:tr>
    </w:tbl>
    <w:p>
      <w:pPr>
        <w:spacing w:before="140" w:after="60"/>
      </w:pPr>
      <w:r>
        <w:rPr>
          <w:b/>
          <w:sz w:val="24"/>
        </w:rPr>
        <w:t>3. What the result means</w:t>
      </w:r>
    </w:p>
    <w:p>
      <w:r>
        <w:t>The difference in conversion rates is statistically significant. The confidence interval for the lift stays above zero, and the p-value is much smaller than the 0.05 significance level.</w:t>
      </w:r>
    </w:p>
    <w:p>
      <w:r>
        <w:t>The size of the effect is also worth paying attention to. The ad group converted about 43% more often relative to the PSA group, which is a fairly large difference. Whether that lift is financially worthwhile would still depend on campaign cost, conversion value, and downstream customer value.</w:t>
      </w:r>
    </w:p>
    <w:p>
      <w:pPr>
        <w:spacing w:before="140" w:after="60"/>
      </w:pPr>
      <w:r>
        <w:rPr>
          <w:b/>
          <w:sz w:val="24"/>
        </w:rPr>
        <w:t>4. Segment checks</w:t>
      </w:r>
    </w:p>
    <w:p>
      <w:r>
        <w:t>The ad group had a higher conversion rate than the PSA group across every day of the week and every hour-of-day bucket tested. The largest relative lift was seen during night hours.</w:t>
      </w:r>
    </w:p>
    <w:p>
      <w:r>
        <w:t>These segment results are useful as a consistency check, but the users were not re-randomized within each day/hour segment. So these cuts should be treated as descriptive rather than as separate causal experiments.</w:t>
      </w:r>
    </w:p>
    <w:p>
      <w:r>
        <w:t>Recorded ad exposure was also similar at the median (13 vs. 12). This is useful descriptive context, but exposure is a post-treatment variable, so it should not be treated as an independent causal adjustment.</w:t>
      </w:r>
    </w:p>
    <w:p>
      <w:pPr>
        <w:spacing w:before="140" w:after="60"/>
      </w:pPr>
      <w:r>
        <w:rPr>
          <w:b/>
          <w:sz w:val="24"/>
        </w:rPr>
        <w:t>5. Decision</w:t>
      </w:r>
    </w:p>
    <w:p>
      <w:r>
        <w:t>Based on the experiment results, the ad experience performed better than the PSA control on the primary conversion metric. The observed lift is statistically significant and is large enough to be worth considering from a business perspective.</w:t>
      </w:r>
    </w:p>
    <w:p>
      <w:pPr>
        <w:pStyle w:val="ListBullet"/>
        <w:spacing w:after="20"/>
      </w:pPr>
      <w:r>
        <w:t>The sample ratio check passed and the observed allocation matched the intended 96/4 design.</w:t>
      </w:r>
    </w:p>
    <w:p>
      <w:pPr>
        <w:pStyle w:val="ListBullet"/>
        <w:spacing w:after="20"/>
      </w:pPr>
      <w:r>
        <w:t>Conversion was 2.55% in the ad group versus 1.79% in the PSA group.</w:t>
      </w:r>
    </w:p>
    <w:p>
      <w:pPr>
        <w:pStyle w:val="ListBullet"/>
        <w:spacing w:after="20"/>
      </w:pPr>
      <w:r>
        <w:t>The estimated lift was +0.77 percentage points, with a 95% CI of +0.60 to +0.94 percentage points.</w:t>
      </w:r>
    </w:p>
    <w:p>
      <w:pPr>
        <w:pStyle w:val="ListBullet"/>
        <w:spacing w:after="20"/>
      </w:pPr>
      <w:r>
        <w:t>The result was statistically significant (p = 1.7 × 10⁻¹³).</w:t>
      </w:r>
    </w:p>
    <w:p>
      <w:pPr>
        <w:pStyle w:val="ListBullet"/>
        <w:spacing w:after="20"/>
      </w:pPr>
      <w:r>
        <w:t>The positive direction was consistent across the tested day and hour segments.</w:t>
      </w:r>
    </w:p>
    <w:p>
      <w:pPr>
        <w:spacing w:before="140" w:after="60"/>
      </w:pPr>
      <w:r>
        <w:rPr>
          <w:b/>
          <w:sz w:val="24"/>
        </w:rPr>
        <w:t>6. Risks and next steps</w:t>
      </w:r>
    </w:p>
    <w:p>
      <w:pPr>
        <w:pStyle w:val="ListBullet"/>
        <w:spacing w:after="20"/>
      </w:pPr>
      <w:r>
        <w:t>The control group was much smaller because of the 96/4 allocation, so some segment-level estimates are based on smaller samples.</w:t>
      </w:r>
    </w:p>
    <w:p>
      <w:pPr>
        <w:pStyle w:val="ListBullet"/>
        <w:spacing w:after="20"/>
      </w:pPr>
      <w:r>
        <w:t>The day/hour analysis is descriptive and should not be treated as independently randomized evidence.</w:t>
      </w:r>
    </w:p>
    <w:p>
      <w:pPr>
        <w:pStyle w:val="ListBullet"/>
        <w:spacing w:after="20"/>
      </w:pPr>
      <w:r>
        <w:t>A follow-up experiment could test whether changing ad frequency, especially during night hours, produces additional improvement.</w:t>
      </w:r>
    </w:p>
    <w:p>
      <w:pPr>
        <w:pStyle w:val="ListBullet"/>
        <w:spacing w:after="20"/>
      </w:pPr>
      <w:r>
        <w:t>Before a permanent rollout, it would also be useful to check the business economics of the extra conversions and confirm the result in a follow-up test.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 Test Analysis | Decision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