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03CF" w:rsidRPr="00AD62EC" w:rsidRDefault="005D03CF" w:rsidP="005D03CF">
      <w:pPr>
        <w:spacing w:after="160" w:line="360" w:lineRule="auto"/>
        <w:ind w:left="2832" w:firstLine="426"/>
        <w:rPr>
          <w:b/>
          <w:sz w:val="32"/>
          <w:szCs w:val="32"/>
          <w:lang w:val="uz-Cyrl-UZ"/>
        </w:rPr>
      </w:pPr>
      <w:r w:rsidRPr="00AD62EC">
        <w:rPr>
          <w:b/>
          <w:sz w:val="32"/>
          <w:szCs w:val="32"/>
          <w:lang w:val="uz-Cyrl-UZ"/>
        </w:rPr>
        <w:t>КИРИШ</w:t>
      </w:r>
    </w:p>
    <w:p w:rsidR="005D03CF" w:rsidRPr="00AD62EC" w:rsidRDefault="005D03CF" w:rsidP="005D03CF">
      <w:pPr>
        <w:widowControl w:val="0"/>
        <w:spacing w:line="360" w:lineRule="auto"/>
        <w:ind w:firstLine="567"/>
        <w:jc w:val="both"/>
        <w:rPr>
          <w:bCs/>
          <w:sz w:val="32"/>
          <w:szCs w:val="32"/>
          <w:lang w:val="uz-Cyrl-UZ"/>
        </w:rPr>
      </w:pPr>
      <w:r w:rsidRPr="00AD62EC">
        <w:rPr>
          <w:bCs/>
          <w:sz w:val="32"/>
          <w:szCs w:val="32"/>
          <w:lang w:val="uz-Cyrl-UZ"/>
        </w:rPr>
        <w:t xml:space="preserve">Жаҳон адабиётшунослигида бадиийлик мезонларининг тараққиёти ва изчил такомиллашуви бадиий тафаккурнинг тадрижий ривожи  билан узвий боғлиқ бўлиб, янги адабий-илмий концепцияларнинг юзага келишига асос бўлмоқда. </w:t>
      </w:r>
      <w:r w:rsidRPr="00AD62EC">
        <w:rPr>
          <w:sz w:val="32"/>
          <w:szCs w:val="32"/>
          <w:lang w:val="uz-Cyrl-UZ"/>
        </w:rPr>
        <w:t>Шу боис бадиий асар оламининг ўзига хос поэтик хусусиятларини тадқиқ этиш, унга таҳлилий ёндошиш ҳар бир халқ адабиёти, унинг тараққиёти билан узвий боғлиқдир. Бадиий</w:t>
      </w:r>
      <w:r w:rsidRPr="00AD62EC">
        <w:rPr>
          <w:bCs/>
          <w:sz w:val="32"/>
          <w:szCs w:val="32"/>
          <w:lang w:val="uz-Cyrl-UZ"/>
        </w:rPr>
        <w:t xml:space="preserve"> асарлар поэтикасини таҳлил этиш, йиллар давомида шаклланган анъаналарнинг маълум бир ижодкор асарларида мужассамлашиши, </w:t>
      </w:r>
      <w:r w:rsidRPr="00AD62EC">
        <w:rPr>
          <w:sz w:val="32"/>
          <w:szCs w:val="32"/>
          <w:lang w:val="uz-Cyrl-UZ"/>
        </w:rPr>
        <w:t>бадиий-эстетик талқин хусусиятларидаги поэтик ўзгаришларни кўрсатиб бериш, асосида ижодкорнинг бадиий маҳоратини назарий асослаш муҳим аҳамиятга эга</w:t>
      </w:r>
      <w:r w:rsidRPr="00AD62EC">
        <w:rPr>
          <w:sz w:val="32"/>
          <w:szCs w:val="32"/>
          <w:lang w:val="uz-Cyrl-UZ" w:eastAsia="ja-JP"/>
        </w:rPr>
        <w:t>.</w:t>
      </w:r>
    </w:p>
    <w:p w:rsidR="005D03CF" w:rsidRPr="00AD62EC" w:rsidRDefault="005D03CF" w:rsidP="005D03CF">
      <w:pPr>
        <w:widowControl w:val="0"/>
        <w:spacing w:line="360" w:lineRule="auto"/>
        <w:ind w:firstLine="567"/>
        <w:jc w:val="both"/>
        <w:rPr>
          <w:bCs/>
          <w:sz w:val="32"/>
          <w:szCs w:val="32"/>
          <w:lang w:val="uz-Cyrl-UZ"/>
        </w:rPr>
      </w:pPr>
      <w:r w:rsidRPr="00AD62EC">
        <w:rPr>
          <w:bCs/>
          <w:sz w:val="32"/>
          <w:szCs w:val="32"/>
          <w:lang w:val="uz-Cyrl-UZ"/>
        </w:rPr>
        <w:t>Дунё адабиётшунослигида</w:t>
      </w:r>
      <w:r w:rsidRPr="00AD62EC">
        <w:rPr>
          <w:sz w:val="32"/>
          <w:szCs w:val="32"/>
          <w:lang w:val="uz-Cyrl-UZ"/>
        </w:rPr>
        <w:t xml:space="preserve"> бадиийликнинг турфа хил кўринишлари мавжуд бўлиб, асар матнидаги ифодаси, муаллифнинг бадиий муносабати, образлар оламининг танланиши ва қўйилган муаммони улар воситасида поэтик идрок этиши-ю, эстетик идеали, дунёқараши, бадиий талқин муаммолари, умуман олганда, ёзувчининг поэтик маҳоратининг ўзига хос қирралари яратилган асарлари мисолида изчил ўрганилган</w:t>
      </w:r>
      <w:r w:rsidRPr="00AD62EC">
        <w:rPr>
          <w:bCs/>
          <w:sz w:val="32"/>
          <w:szCs w:val="32"/>
          <w:lang w:val="uz-Cyrl-UZ"/>
        </w:rPr>
        <w:t>. Муайян ёзувчининг турли йилларда ёзган асарларидаги руҳий талқин, характер яратиш анъанасининг такомиллашуви, миллий характерининг талқини, миллий руҳ ва миллий характерларнинг юзага келиш, руҳий изтироблар талқини бўйича илмий тадқиқотлар яратиш муҳим аҳамият касб этади.</w:t>
      </w:r>
    </w:p>
    <w:p w:rsidR="005D03CF" w:rsidRPr="00AD62EC" w:rsidRDefault="005D03CF" w:rsidP="005D03CF">
      <w:pPr>
        <w:widowControl w:val="0"/>
        <w:spacing w:line="360" w:lineRule="auto"/>
        <w:ind w:firstLine="567"/>
        <w:jc w:val="both"/>
        <w:rPr>
          <w:snapToGrid w:val="0"/>
          <w:sz w:val="32"/>
          <w:szCs w:val="32"/>
          <w:lang w:val="uz-Cyrl-UZ"/>
        </w:rPr>
      </w:pPr>
      <w:r w:rsidRPr="00AD62EC">
        <w:rPr>
          <w:sz w:val="32"/>
          <w:szCs w:val="32"/>
          <w:lang w:val="uz-Cyrl-UZ"/>
        </w:rPr>
        <w:t xml:space="preserve">Cўнгги йилларида миллий асарларимизни холис ўрганишга, </w:t>
      </w:r>
      <w:r w:rsidRPr="00AD62EC">
        <w:rPr>
          <w:sz w:val="32"/>
          <w:szCs w:val="32"/>
          <w:lang w:val="uz-Cyrl-UZ"/>
        </w:rPr>
        <w:lastRenderedPageBreak/>
        <w:t>уларни юксак бадиият мезонлари асосида тадқиқ қилишга назарий жиҳатдан асосли ёндашиш ҳолати кузатилмоқда. Ўзбек насри бадиий тафаккуридаги янгиланишларни, воқеликни бадиий ифодалаш йўсинларини дунё адабиётшунослигидаги мавжуд етакчи тамойиллар асосида бугунги кун талабидан келиб чиқиб илмий-назарий жиҳатдан тўғри баҳолаш муҳим вазифалардан бири бўлиб келмоқда. “</w:t>
      </w:r>
      <w:r w:rsidRPr="00AD62EC">
        <w:rPr>
          <w:bCs/>
          <w:sz w:val="32"/>
          <w:szCs w:val="32"/>
          <w:lang w:val="uz-Cyrl-UZ"/>
        </w:rPr>
        <w:t>...</w:t>
      </w:r>
      <w:r w:rsidRPr="00AD62EC">
        <w:rPr>
          <w:sz w:val="32"/>
          <w:szCs w:val="32"/>
          <w:lang w:val="uz-Cyrl-UZ"/>
        </w:rPr>
        <w:t>Адабиёт ва санъатга, маданиятга эътибор – бу, аввало, халқимизга эътибор, келажагимизга эътибор эканини, буюк шоиримиз Чўлпон айтганидек, адабиёт, маданият яшаса, миллат яшаши мумкинлигини унутишга бизнинг асло ҳаққимиз йўқ”.  Демак, бадиий асарлар поэтик табиатининг ўрганилиши, улардаги инсон образи индивидуал ва ижтимоий борлиғининг ёритилишини кузатиш  ёш авлоднинг маънавий камолотини таъминлашда муҳим аҳамиятга эга</w:t>
      </w:r>
      <w:r w:rsidRPr="00AD62EC">
        <w:rPr>
          <w:spacing w:val="7"/>
          <w:sz w:val="32"/>
          <w:szCs w:val="32"/>
          <w:lang w:val="uz-Cyrl-UZ"/>
        </w:rPr>
        <w:t>.</w:t>
      </w:r>
    </w:p>
    <w:p w:rsidR="00237C4E" w:rsidRPr="005D03CF" w:rsidRDefault="005D03CF">
      <w:pPr>
        <w:rPr>
          <w:lang w:val="uz-Cyrl-UZ"/>
        </w:rPr>
      </w:pPr>
      <w:bookmarkStart w:id="0" w:name="_GoBack"/>
      <w:bookmarkEnd w:id="0"/>
    </w:p>
    <w:sectPr w:rsidR="00237C4E" w:rsidRPr="005D03C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03CF"/>
    <w:rsid w:val="0027257F"/>
    <w:rsid w:val="005D03CF"/>
    <w:rsid w:val="005F2CC7"/>
    <w:rsid w:val="009C49AC"/>
    <w:rsid w:val="00D2007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D03CF"/>
    <w:pPr>
      <w:spacing w:after="0" w:line="240" w:lineRule="auto"/>
    </w:pPr>
    <w:rPr>
      <w:rFonts w:ascii="Times New Roman" w:eastAsia="SimSu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D03CF"/>
    <w:pPr>
      <w:spacing w:after="0" w:line="240" w:lineRule="auto"/>
    </w:pPr>
    <w:rPr>
      <w:rFonts w:ascii="Times New Roman" w:eastAsia="SimSu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322</Words>
  <Characters>1837</Characters>
  <Application>Microsoft Office Word</Application>
  <DocSecurity>0</DocSecurity>
  <Lines>15</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2155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2023-01-25T21:05:00Z</dcterms:created>
  <dcterms:modified xsi:type="dcterms:W3CDTF">2023-01-25T21:07:00Z</dcterms:modified>
</cp:coreProperties>
</file>