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7B25" w:rsidRDefault="00015846" w:rsidP="00015846">
      <w:pPr>
        <w:rPr>
          <w:rFonts w:ascii="Segoe UI" w:hAnsi="Segoe UI" w:cs="Segoe UI"/>
          <w:b/>
          <w:bCs/>
          <w:color w:val="0F1115"/>
          <w:shd w:val="clear" w:color="auto" w:fill="FFFFFF"/>
        </w:rPr>
      </w:pPr>
      <w:r w:rsidRPr="00015846">
        <w:rPr>
          <w:rFonts w:ascii="Segoe UI" w:hAnsi="Segoe UI" w:cs="Segoe UI"/>
          <w:b/>
          <w:bCs/>
          <w:color w:val="0F1115"/>
          <w:shd w:val="clear" w:color="auto" w:fill="FFFFFF"/>
        </w:rPr>
        <w:t>Drive Growth for Your Dental Practice with NUMCARE-RCM Services</w:t>
      </w:r>
    </w:p>
    <w:p w:rsidR="00015846" w:rsidRDefault="00015846" w:rsidP="00015846">
      <w:pPr>
        <w:rPr>
          <w:rFonts w:ascii="Segoe UI" w:hAnsi="Segoe UI" w:cs="Segoe UI"/>
          <w:b/>
          <w:bCs/>
          <w:color w:val="0F1115"/>
          <w:shd w:val="clear" w:color="auto" w:fill="FFFFFF"/>
        </w:rPr>
      </w:pPr>
    </w:p>
    <w:p w:rsidR="00015846" w:rsidRDefault="00960A8E" w:rsidP="00015846">
      <w:pPr>
        <w:rPr>
          <w:b/>
          <w:bCs/>
        </w:rPr>
      </w:pPr>
      <w:r>
        <w:rPr>
          <w:b/>
          <w:bCs/>
        </w:rPr>
        <w:t>Dental Credentialing</w:t>
      </w:r>
    </w:p>
    <w:p w:rsidR="00960A8E" w:rsidRPr="00960A8E" w:rsidRDefault="00960A8E" w:rsidP="00015846">
      <w:pPr>
        <w:rPr>
          <w:b/>
          <w:bCs/>
        </w:rPr>
      </w:pPr>
      <w:r w:rsidRPr="00960A8E">
        <w:rPr>
          <w:rFonts w:ascii="Segoe UI" w:hAnsi="Segoe UI" w:cs="Segoe UI"/>
          <w:b/>
          <w:bCs/>
          <w:color w:val="0F1115"/>
          <w:shd w:val="clear" w:color="auto" w:fill="FFFFFF"/>
        </w:rPr>
        <w:t xml:space="preserve">Dental Credentialing — Get on Panels Quickly and Boost Revenue </w:t>
      </w:r>
      <w:proofErr w:type="gramStart"/>
      <w:r w:rsidRPr="00960A8E">
        <w:rPr>
          <w:rFonts w:ascii="Segoe UI" w:hAnsi="Segoe UI" w:cs="Segoe UI"/>
          <w:b/>
          <w:bCs/>
          <w:color w:val="0F1115"/>
          <w:shd w:val="clear" w:color="auto" w:fill="FFFFFF"/>
        </w:rPr>
        <w:t>Within</w:t>
      </w:r>
      <w:proofErr w:type="gramEnd"/>
      <w:r w:rsidRPr="00960A8E">
        <w:rPr>
          <w:rFonts w:ascii="Segoe UI" w:hAnsi="Segoe UI" w:cs="Segoe UI"/>
          <w:b/>
          <w:bCs/>
          <w:color w:val="0F1115"/>
          <w:shd w:val="clear" w:color="auto" w:fill="FFFFFF"/>
        </w:rPr>
        <w:t xml:space="preserve"> 60 Days</w:t>
      </w:r>
    </w:p>
    <w:p w:rsidR="00960A8E" w:rsidRDefault="00960A8E" w:rsidP="00960A8E">
      <w:pPr>
        <w:rPr>
          <w:rFonts w:ascii="Segoe UI" w:hAnsi="Segoe UI" w:cs="Segoe UI"/>
          <w:color w:val="0F1115"/>
          <w:shd w:val="clear" w:color="auto" w:fill="FFFFFF"/>
        </w:rPr>
      </w:pPr>
      <w:r>
        <w:rPr>
          <w:rFonts w:ascii="Segoe UI" w:hAnsi="Segoe UI" w:cs="Segoe UI"/>
          <w:color w:val="0F1115"/>
          <w:shd w:val="clear" w:color="auto" w:fill="FFFFFF"/>
        </w:rPr>
        <w:t>Credentialing delays don't just hold up paperwork — they slow down your revenue. Claims can be denied, paid at the lower out-of-network rate, or stuck in limbo because your provider status isn't active. And your front desk? They're stuck handling billing questions instead of helping patients. NUMCARE-RCM has expertise to keep your applications progressing smoothly. We catch missing information early, handle payer follow-ups efficiently, and keep you in the loop. The payoff? Faster payer enrollment, fewer claim issues tied to participation status, quicker revenue flow, and less downtime for your providers as you grow.</w:t>
      </w:r>
    </w:p>
    <w:p w:rsidR="00960A8E" w:rsidRDefault="00960A8E" w:rsidP="00960A8E">
      <w:pPr>
        <w:rPr>
          <w:rFonts w:ascii="Segoe UI" w:hAnsi="Segoe UI" w:cs="Segoe UI"/>
          <w:color w:val="0F1115"/>
          <w:shd w:val="clear" w:color="auto" w:fill="FFFFFF"/>
        </w:rPr>
      </w:pPr>
    </w:p>
    <w:p w:rsidR="00960A8E" w:rsidRDefault="00960A8E" w:rsidP="00960A8E">
      <w:pPr>
        <w:rPr>
          <w:rFonts w:ascii="Segoe UI" w:hAnsi="Segoe UI" w:cs="Segoe UI"/>
          <w:b/>
          <w:bCs/>
          <w:color w:val="0F1115"/>
          <w:shd w:val="clear" w:color="auto" w:fill="FFFFFF"/>
        </w:rPr>
      </w:pPr>
      <w:r>
        <w:rPr>
          <w:rFonts w:ascii="Segoe UI" w:hAnsi="Segoe UI" w:cs="Segoe UI"/>
          <w:b/>
          <w:bCs/>
          <w:color w:val="0F1115"/>
          <w:shd w:val="clear" w:color="auto" w:fill="FFFFFF"/>
        </w:rPr>
        <w:t>Dental Billing &amp; Collection</w:t>
      </w:r>
    </w:p>
    <w:p w:rsidR="00960A8E" w:rsidRDefault="00960A8E" w:rsidP="00960A8E">
      <w:pPr>
        <w:rPr>
          <w:rFonts w:ascii="Segoe UI" w:hAnsi="Segoe UI" w:cs="Segoe UI"/>
          <w:b/>
          <w:bCs/>
          <w:color w:val="0F1115"/>
          <w:shd w:val="clear" w:color="auto" w:fill="FFFFFF"/>
        </w:rPr>
      </w:pPr>
      <w:r w:rsidRPr="00960A8E">
        <w:rPr>
          <w:rFonts w:ascii="Segoe UI" w:hAnsi="Segoe UI" w:cs="Segoe UI"/>
          <w:b/>
          <w:bCs/>
          <w:color w:val="0F1115"/>
          <w:shd w:val="clear" w:color="auto" w:fill="FFFFFF"/>
        </w:rPr>
        <w:t>40% Fewer Denials. 92% Collected in 30 Days</w:t>
      </w:r>
    </w:p>
    <w:p w:rsidR="00960A8E" w:rsidRDefault="00960A8E" w:rsidP="00960A8E">
      <w:pPr>
        <w:rPr>
          <w:rFonts w:ascii="Segoe UI" w:hAnsi="Segoe UI" w:cs="Segoe UI"/>
          <w:color w:val="0F1115"/>
          <w:shd w:val="clear" w:color="auto" w:fill="FFFFFF"/>
        </w:rPr>
      </w:pPr>
      <w:r>
        <w:rPr>
          <w:rFonts w:ascii="Segoe UI" w:hAnsi="Segoe UI" w:cs="Segoe UI"/>
          <w:color w:val="0F1115"/>
          <w:shd w:val="clear" w:color="auto" w:fill="FFFFFF"/>
        </w:rPr>
        <w:t>Working hard but watching your bank account stay flat? For most dental practices across the US, the real culprit isn't a lack of patients — it's the insurance claim lifecycle. When denials pile up and accounts receivable drag past 60 days, your cash flow comes to a halt. Let's face it: you didn't go to dental school to become a bill collector. That's precisely why we've designed our unique dental billing and collection services — to take the full weight of back-office work off your plate.</w:t>
      </w:r>
    </w:p>
    <w:p w:rsidR="004921A6" w:rsidRDefault="004921A6" w:rsidP="00960A8E">
      <w:pPr>
        <w:rPr>
          <w:rFonts w:ascii="Segoe UI" w:hAnsi="Segoe UI" w:cs="Segoe UI"/>
          <w:color w:val="0F1115"/>
          <w:shd w:val="clear" w:color="auto" w:fill="FFFFFF"/>
        </w:rPr>
      </w:pPr>
    </w:p>
    <w:p w:rsidR="004921A6" w:rsidRPr="004921A6" w:rsidRDefault="004921A6" w:rsidP="00960A8E">
      <w:pPr>
        <w:rPr>
          <w:rFonts w:ascii="Segoe UI" w:hAnsi="Segoe UI" w:cs="Segoe UI"/>
          <w:b/>
          <w:bCs/>
          <w:color w:val="0F1115"/>
          <w:shd w:val="clear" w:color="auto" w:fill="FFFFFF"/>
        </w:rPr>
      </w:pPr>
    </w:p>
    <w:p w:rsidR="00960A8E" w:rsidRDefault="00960A8E" w:rsidP="00960A8E">
      <w:pPr>
        <w:rPr>
          <w:rFonts w:ascii="Segoe UI" w:hAnsi="Segoe UI" w:cs="Segoe UI"/>
          <w:color w:val="0F1115"/>
          <w:shd w:val="clear" w:color="auto" w:fill="FFFFFF"/>
        </w:rPr>
      </w:pPr>
    </w:p>
    <w:p w:rsidR="00960A8E" w:rsidRDefault="00960A8E" w:rsidP="00960A8E">
      <w:pPr>
        <w:rPr>
          <w:b/>
          <w:bCs/>
        </w:rPr>
      </w:pPr>
      <w:r>
        <w:rPr>
          <w:b/>
          <w:bCs/>
        </w:rPr>
        <w:t>Dental Insurance Verifications</w:t>
      </w:r>
    </w:p>
    <w:p w:rsidR="00960A8E" w:rsidRDefault="00960A8E" w:rsidP="00960A8E">
      <w:pPr>
        <w:rPr>
          <w:b/>
          <w:bCs/>
        </w:rPr>
      </w:pPr>
      <w:r>
        <w:rPr>
          <w:b/>
          <w:bCs/>
        </w:rPr>
        <w:t>Say Goodbye to Time Consuming Phone Calls</w:t>
      </w:r>
    </w:p>
    <w:p w:rsidR="00960A8E" w:rsidRDefault="00960A8E" w:rsidP="00960A8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Insurance verification is the process of confirming a patient's eligibility, active benefits, and coverage with their insurance provider — and it's essential for preventing billing issues. In fact, successful dental billing depends entirely on getting verification right. But with insurance enrollment on the rise, many practices are finding it harder to manage this workload in-house.</w:t>
      </w:r>
    </w:p>
    <w:p w:rsidR="00960A8E" w:rsidRDefault="00960A8E" w:rsidP="00960A8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Our experts take verification off your hands. We confirm eligibility, benefits, and coverage details with insurance companies on your behalf. And we do it before treatment — because waiting risks denied claims due to outdated benefits, incorrect patient information, or a policy that's been changed or terminated.</w:t>
      </w:r>
    </w:p>
    <w:p w:rsidR="00960A8E" w:rsidRDefault="00960A8E" w:rsidP="00960A8E">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Our team works tirelessly, using insurer portals, fax, and phone follow-ups to gather each patient's full history — information that directly impacts treatment planning. We handle the entire process so you can focus on your patients with complete peace of mind.</w:t>
      </w:r>
    </w:p>
    <w:p w:rsidR="004921A6" w:rsidRDefault="004921A6" w:rsidP="00960A8E">
      <w:pPr>
        <w:pStyle w:val="ds-markdown-paragraph"/>
        <w:shd w:val="clear" w:color="auto" w:fill="FFFFFF"/>
        <w:spacing w:before="240" w:beforeAutospacing="0" w:line="420" w:lineRule="atLeast"/>
        <w:rPr>
          <w:rFonts w:ascii="Segoe UI" w:hAnsi="Segoe UI" w:cs="Segoe UI"/>
          <w:color w:val="0F1115"/>
        </w:rPr>
      </w:pPr>
    </w:p>
    <w:p w:rsidR="004921A6" w:rsidRDefault="004921A6" w:rsidP="004921A6">
      <w:pPr>
        <w:rPr>
          <w:rFonts w:ascii="Segoe UI" w:hAnsi="Segoe UI" w:cs="Segoe UI"/>
          <w:b/>
          <w:bCs/>
          <w:color w:val="0F1115"/>
          <w:shd w:val="clear" w:color="auto" w:fill="FFFFFF"/>
        </w:rPr>
      </w:pPr>
      <w:r w:rsidRPr="004921A6">
        <w:rPr>
          <w:rFonts w:ascii="Segoe UI" w:hAnsi="Segoe UI" w:cs="Segoe UI"/>
          <w:b/>
          <w:bCs/>
          <w:color w:val="0F1115"/>
          <w:shd w:val="clear" w:color="auto" w:fill="FFFFFF"/>
        </w:rPr>
        <w:t>Pre-Authorization</w:t>
      </w:r>
    </w:p>
    <w:p w:rsidR="00D20239" w:rsidRPr="00D20239" w:rsidRDefault="00D20239" w:rsidP="00D20239">
      <w:pPr>
        <w:rPr>
          <w:rStyle w:val="Strong"/>
          <w:rFonts w:ascii="Segoe UI" w:hAnsi="Segoe UI" w:cs="Segoe UI"/>
          <w:b w:val="0"/>
          <w:bCs w:val="0"/>
          <w:color w:val="0F1115"/>
          <w:shd w:val="clear" w:color="auto" w:fill="FFFFFF"/>
        </w:rPr>
      </w:pPr>
      <w:r w:rsidRPr="00D20239">
        <w:rPr>
          <w:rFonts w:ascii="Segoe UI" w:hAnsi="Segoe UI" w:cs="Segoe UI"/>
          <w:b/>
          <w:bCs/>
          <w:color w:val="0F1115"/>
          <w:shd w:val="clear" w:color="auto" w:fill="FFFFFF"/>
        </w:rPr>
        <w:t xml:space="preserve">Get the </w:t>
      </w:r>
      <w:r>
        <w:rPr>
          <w:rFonts w:ascii="Segoe UI" w:hAnsi="Segoe UI" w:cs="Segoe UI"/>
          <w:b/>
          <w:bCs/>
          <w:color w:val="0F1115"/>
          <w:shd w:val="clear" w:color="auto" w:fill="FFFFFF"/>
        </w:rPr>
        <w:t xml:space="preserve">Pre Authorization </w:t>
      </w:r>
      <w:r w:rsidRPr="00D20239">
        <w:rPr>
          <w:rFonts w:ascii="Segoe UI" w:hAnsi="Segoe UI" w:cs="Segoe UI"/>
          <w:b/>
          <w:bCs/>
          <w:color w:val="0F1115"/>
          <w:shd w:val="clear" w:color="auto" w:fill="FFFFFF"/>
        </w:rPr>
        <w:t>first—so your claim doesn’t get cursed.</w:t>
      </w:r>
    </w:p>
    <w:p w:rsidR="004921A6" w:rsidRPr="004921A6" w:rsidRDefault="004921A6" w:rsidP="004921A6">
      <w:pPr>
        <w:rPr>
          <w:rFonts w:ascii="Segoe UI" w:hAnsi="Segoe UI" w:cs="Segoe UI"/>
          <w:b/>
          <w:bCs/>
          <w:color w:val="0F1115"/>
          <w:shd w:val="clear" w:color="auto" w:fill="FFFFFF"/>
        </w:rPr>
      </w:pPr>
      <w:r>
        <w:rPr>
          <w:rFonts w:ascii="Segoe UI" w:hAnsi="Segoe UI" w:cs="Segoe UI"/>
          <w:color w:val="0F1115"/>
          <w:shd w:val="clear" w:color="auto" w:fill="FFFFFF"/>
        </w:rPr>
        <w:t>NUMCARE-</w:t>
      </w:r>
      <w:proofErr w:type="gramStart"/>
      <w:r>
        <w:rPr>
          <w:rFonts w:ascii="Segoe UI" w:hAnsi="Segoe UI" w:cs="Segoe UI"/>
          <w:color w:val="0F1115"/>
          <w:shd w:val="clear" w:color="auto" w:fill="FFFFFF"/>
        </w:rPr>
        <w:t xml:space="preserve">RCM </w:t>
      </w:r>
      <w:r w:rsidR="00EA2381">
        <w:rPr>
          <w:rFonts w:ascii="Segoe UI" w:hAnsi="Segoe UI" w:cs="Segoe UI"/>
          <w:color w:val="0F1115"/>
          <w:shd w:val="clear" w:color="auto" w:fill="FFFFFF"/>
        </w:rPr>
        <w:t xml:space="preserve"> P</w:t>
      </w:r>
      <w:r>
        <w:rPr>
          <w:rFonts w:ascii="Segoe UI" w:hAnsi="Segoe UI" w:cs="Segoe UI"/>
          <w:color w:val="0F1115"/>
          <w:shd w:val="clear" w:color="auto" w:fill="FFFFFF"/>
        </w:rPr>
        <w:t>re</w:t>
      </w:r>
      <w:proofErr w:type="gramEnd"/>
      <w:r>
        <w:rPr>
          <w:rFonts w:ascii="Segoe UI" w:hAnsi="Segoe UI" w:cs="Segoe UI"/>
          <w:color w:val="0F1115"/>
          <w:shd w:val="clear" w:color="auto" w:fill="FFFFFF"/>
        </w:rPr>
        <w:t xml:space="preserve">-authorization services for dental offices streamline insurance approvals, saving valuable clinical time. By outsourcing this task, </w:t>
      </w:r>
      <w:r>
        <w:rPr>
          <w:rFonts w:ascii="Segoe UI" w:hAnsi="Segoe UI" w:cs="Segoe UI"/>
          <w:color w:val="0F1115"/>
          <w:shd w:val="clear" w:color="auto" w:fill="FFFFFF"/>
        </w:rPr>
        <w:t>you can</w:t>
      </w:r>
      <w:r>
        <w:rPr>
          <w:rFonts w:ascii="Segoe UI" w:hAnsi="Segoe UI" w:cs="Segoe UI"/>
          <w:color w:val="0F1115"/>
          <w:shd w:val="clear" w:color="auto" w:fill="FFFFFF"/>
        </w:rPr>
        <w:t xml:space="preserve"> reduce claim rejections, accelerate treatment starts, and improve revenue cycle efficiency. Dent</w:t>
      </w:r>
      <w:bookmarkStart w:id="0" w:name="_GoBack"/>
      <w:bookmarkEnd w:id="0"/>
      <w:r>
        <w:rPr>
          <w:rFonts w:ascii="Segoe UI" w:hAnsi="Segoe UI" w:cs="Segoe UI"/>
          <w:color w:val="0F1115"/>
          <w:shd w:val="clear" w:color="auto" w:fill="FFFFFF"/>
        </w:rPr>
        <w:t>ists focus on patient care while experts navigate complex payer rules and stay current with changing requirements. Ultimately, reliable pre-authorization support enhances practice profitability, decreases patient wait times, and increases case acceptance by providing upfront cost estimates before treatment begins.</w:t>
      </w:r>
    </w:p>
    <w:p w:rsidR="004921A6" w:rsidRDefault="004921A6" w:rsidP="004921A6">
      <w:pPr>
        <w:rPr>
          <w:rFonts w:ascii="Segoe UI" w:hAnsi="Segoe UI" w:cs="Segoe UI"/>
          <w:color w:val="0F1115"/>
          <w:shd w:val="clear" w:color="auto" w:fill="FFFFFF"/>
        </w:rPr>
      </w:pPr>
    </w:p>
    <w:p w:rsidR="004921A6" w:rsidRDefault="004921A6" w:rsidP="004921A6">
      <w:pPr>
        <w:rPr>
          <w:rFonts w:ascii="Segoe UI" w:hAnsi="Segoe UI" w:cs="Segoe UI"/>
          <w:b/>
          <w:bCs/>
          <w:color w:val="0F1115"/>
          <w:shd w:val="clear" w:color="auto" w:fill="FFFFFF"/>
        </w:rPr>
      </w:pPr>
    </w:p>
    <w:p w:rsidR="004921A6" w:rsidRDefault="004921A6" w:rsidP="004921A6">
      <w:pPr>
        <w:rPr>
          <w:rFonts w:ascii="Segoe UI" w:hAnsi="Segoe UI" w:cs="Segoe UI"/>
          <w:b/>
          <w:bCs/>
          <w:color w:val="0F1115"/>
          <w:shd w:val="clear" w:color="auto" w:fill="FFFFFF"/>
        </w:rPr>
      </w:pPr>
      <w:r>
        <w:rPr>
          <w:rFonts w:ascii="Segoe UI" w:hAnsi="Segoe UI" w:cs="Segoe UI"/>
          <w:b/>
          <w:bCs/>
          <w:color w:val="0F1115"/>
          <w:shd w:val="clear" w:color="auto" w:fill="FFFFFF"/>
        </w:rPr>
        <w:t>Payment Posting</w:t>
      </w:r>
    </w:p>
    <w:p w:rsidR="00D20239" w:rsidRPr="00D20239" w:rsidRDefault="00D20239" w:rsidP="004921A6">
      <w:pPr>
        <w:rPr>
          <w:rFonts w:ascii="Segoe UI" w:hAnsi="Segoe UI" w:cs="Segoe UI"/>
          <w:b/>
          <w:bCs/>
          <w:color w:val="0F1115"/>
          <w:shd w:val="clear" w:color="auto" w:fill="FFFFFF"/>
        </w:rPr>
      </w:pPr>
      <w:r w:rsidRPr="00D20239">
        <w:rPr>
          <w:rFonts w:ascii="Segoe UI" w:hAnsi="Segoe UI" w:cs="Segoe UI"/>
          <w:b/>
          <w:bCs/>
          <w:color w:val="0F1115"/>
          <w:shd w:val="clear" w:color="auto" w:fill="FFFFFF"/>
        </w:rPr>
        <w:t>Every EOB deserves a perfect match—don’t leave money in the catch.</w:t>
      </w:r>
    </w:p>
    <w:p w:rsidR="004921A6" w:rsidRDefault="000C45B2" w:rsidP="00960A8E">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shd w:val="clear" w:color="auto" w:fill="FFFFFF"/>
        </w:rPr>
        <w:t xml:space="preserve">NUMCARE-RCM </w:t>
      </w:r>
      <w:r>
        <w:rPr>
          <w:rFonts w:ascii="Segoe UI" w:hAnsi="Segoe UI" w:cs="Segoe UI"/>
          <w:color w:val="0F1115"/>
          <w:shd w:val="clear" w:color="auto" w:fill="FFFFFF"/>
        </w:rPr>
        <w:t xml:space="preserve">payment posting services for dental offices ensure accurate and timely recording of insurance and patient payments. These services handle electronic remittance advice (ERA) and paper explanations of benefits (EOB), posting adjustments, deductibles, co-pays, and write-offs directly into the practice management system. Expert teams reconcile posted payments with daily bank deposits, identify underpayments or missing claims, and flag contractual discrepancies for follow-up. By outsourcing this task, dental practices reduce posting errors, improve accounts receivable tracking, and free front desk staff from tedious data entry. Faster, more </w:t>
      </w:r>
      <w:r>
        <w:rPr>
          <w:rFonts w:ascii="Segoe UI" w:hAnsi="Segoe UI" w:cs="Segoe UI"/>
          <w:color w:val="0F1115"/>
          <w:shd w:val="clear" w:color="auto" w:fill="FFFFFF"/>
        </w:rPr>
        <w:lastRenderedPageBreak/>
        <w:t>accurate payment posting accelerates revenue reconciliation, enhances financial reporting clarity, and helps dentists identify payer trends or billing issues. Ultimately, this service optimizes cash flow, reduces claim denials from misapplied payments, and allows clinical teams to focus on patient care rather than administrative backlog.</w:t>
      </w:r>
    </w:p>
    <w:p w:rsidR="00960A8E" w:rsidRDefault="00960A8E" w:rsidP="00960A8E">
      <w:pPr>
        <w:rPr>
          <w:b/>
          <w:bCs/>
        </w:rPr>
      </w:pPr>
    </w:p>
    <w:p w:rsidR="00960A8E" w:rsidRPr="00960A8E" w:rsidRDefault="00960A8E" w:rsidP="00960A8E">
      <w:pPr>
        <w:rPr>
          <w:b/>
          <w:bCs/>
        </w:rPr>
      </w:pPr>
      <w:r w:rsidRPr="00960A8E">
        <w:rPr>
          <w:b/>
          <w:bCs/>
        </w:rPr>
        <w:t>Patient Statement Services</w:t>
      </w:r>
    </w:p>
    <w:p w:rsidR="00960A8E" w:rsidRDefault="00960A8E" w:rsidP="00960A8E">
      <w:pPr>
        <w:rPr>
          <w:b/>
          <w:bCs/>
        </w:rPr>
      </w:pPr>
      <w:r>
        <w:rPr>
          <w:b/>
          <w:bCs/>
        </w:rPr>
        <w:t>Get Faster Payments &amp; Happier Patients with crystal clear Statements</w:t>
      </w:r>
    </w:p>
    <w:p w:rsidR="00274D40" w:rsidRDefault="00274D40" w:rsidP="00274D40">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At NUMCARE-RCM, we turn confusing patient statements into clear, easy-to-understand communications. When patients know exactly what they owe — and when — payment rates go up and come in faster. That's good news for your revenue.</w:t>
      </w:r>
    </w:p>
    <w:p w:rsidR="00274D40" w:rsidRDefault="00274D40" w:rsidP="00274D40">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We handle patient billing for the remaining balance on services rendered, acting as a seamless extension of your practice. Timely payments are vital to your success, so we follow up with patients at regular intervals to ensure balances are cleared. The result? Lower costs for you, more time freed up for your staff, and a more positive experience for your patients.</w:t>
      </w:r>
    </w:p>
    <w:p w:rsidR="004921A6" w:rsidRDefault="004921A6" w:rsidP="00274D40">
      <w:pPr>
        <w:pStyle w:val="ds-markdown-paragraph"/>
        <w:shd w:val="clear" w:color="auto" w:fill="FFFFFF"/>
        <w:spacing w:before="240" w:beforeAutospacing="0" w:line="420" w:lineRule="atLeast"/>
        <w:rPr>
          <w:rFonts w:ascii="Segoe UI" w:hAnsi="Segoe UI" w:cs="Segoe UI"/>
          <w:color w:val="0F1115"/>
        </w:rPr>
      </w:pPr>
    </w:p>
    <w:p w:rsidR="004921A6" w:rsidRDefault="004921A6" w:rsidP="00274D40">
      <w:pPr>
        <w:pStyle w:val="ds-markdown-paragraph"/>
        <w:shd w:val="clear" w:color="auto" w:fill="FFFFFF"/>
        <w:spacing w:before="240" w:beforeAutospacing="0" w:line="420" w:lineRule="atLeast"/>
        <w:rPr>
          <w:rFonts w:ascii="Segoe UI" w:hAnsi="Segoe UI" w:cs="Segoe UI"/>
          <w:b/>
          <w:bCs/>
          <w:color w:val="0F1115"/>
        </w:rPr>
      </w:pPr>
      <w:r>
        <w:rPr>
          <w:rFonts w:ascii="Segoe UI" w:hAnsi="Segoe UI" w:cs="Segoe UI"/>
          <w:b/>
          <w:bCs/>
          <w:color w:val="0F1115"/>
        </w:rPr>
        <w:t>Accounts Receivables</w:t>
      </w:r>
    </w:p>
    <w:p w:rsidR="0022139D" w:rsidRPr="00D20239" w:rsidRDefault="00D20239" w:rsidP="00D20239">
      <w:pPr>
        <w:pStyle w:val="ds-markdown-paragraph"/>
        <w:shd w:val="clear" w:color="auto" w:fill="FFFFFF"/>
        <w:spacing w:before="240" w:beforeAutospacing="0" w:line="420" w:lineRule="atLeast"/>
        <w:rPr>
          <w:rFonts w:ascii="Segoe UI" w:hAnsi="Segoe UI" w:cs="Segoe UI"/>
          <w:b/>
          <w:bCs/>
          <w:color w:val="0F1115"/>
        </w:rPr>
      </w:pPr>
      <w:r w:rsidRPr="00D20239">
        <w:rPr>
          <w:rFonts w:ascii="Segoe UI" w:hAnsi="Segoe UI" w:cs="Segoe UI"/>
          <w:b/>
          <w:bCs/>
          <w:color w:val="0F1115"/>
          <w:shd w:val="clear" w:color="auto" w:fill="FFFFFF"/>
        </w:rPr>
        <w:t>AR isn’t a waiting room—it’s a chase room. Clear it fast.</w:t>
      </w:r>
    </w:p>
    <w:p w:rsidR="004921A6" w:rsidRPr="004921A6" w:rsidRDefault="00155F05" w:rsidP="00274D40">
      <w:pPr>
        <w:pStyle w:val="ds-markdown-paragraph"/>
        <w:shd w:val="clear" w:color="auto" w:fill="FFFFFF"/>
        <w:spacing w:before="240" w:beforeAutospacing="0" w:line="420" w:lineRule="atLeast"/>
        <w:rPr>
          <w:rFonts w:ascii="Segoe UI" w:hAnsi="Segoe UI" w:cs="Segoe UI"/>
          <w:b/>
          <w:bCs/>
          <w:color w:val="0F1115"/>
        </w:rPr>
      </w:pPr>
      <w:r>
        <w:rPr>
          <w:rFonts w:ascii="Segoe UI" w:hAnsi="Segoe UI" w:cs="Segoe UI"/>
          <w:color w:val="0F1115"/>
          <w:shd w:val="clear" w:color="auto" w:fill="FFFFFF"/>
        </w:rPr>
        <w:t xml:space="preserve">Specialized accounts receivable (AR) services for dental offices focus on optimizing outstanding claim payments and reducing days in AR. Experts analyze aging reports to identify unpaid or underpaid insurance claims, patient balances, and recurring denial patterns. They perform systematic follow-ups with carriers, resubmit rejected claims, and manage appeals for delayed or denied payments. Services also include reconciling posted payments with open AR, identifying write-off opportunities, and implementing collection protocols for overdue patient accounts. By outsourcing AR management, dental practices recover revenue faster, decrease write-offs, and improve financial </w:t>
      </w:r>
      <w:r>
        <w:rPr>
          <w:rFonts w:ascii="Segoe UI" w:hAnsi="Segoe UI" w:cs="Segoe UI"/>
          <w:color w:val="0F1115"/>
          <w:shd w:val="clear" w:color="auto" w:fill="FFFFFF"/>
        </w:rPr>
        <w:lastRenderedPageBreak/>
        <w:t>visibility. This proactive approach reduces the administrative burden on office staff, ensuring consistent cash flow while dentists concentrate on clinical excellence and patient relationships.</w:t>
      </w:r>
    </w:p>
    <w:p w:rsidR="00960A8E" w:rsidRPr="00960A8E" w:rsidRDefault="00960A8E" w:rsidP="00960A8E">
      <w:pPr>
        <w:rPr>
          <w:b/>
          <w:bCs/>
        </w:rPr>
      </w:pPr>
    </w:p>
    <w:p w:rsidR="00960A8E" w:rsidRPr="00960A8E" w:rsidRDefault="00960A8E" w:rsidP="00960A8E">
      <w:pPr>
        <w:rPr>
          <w:b/>
          <w:bCs/>
        </w:rPr>
      </w:pPr>
    </w:p>
    <w:sectPr w:rsidR="00960A8E" w:rsidRPr="00960A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846"/>
    <w:rsid w:val="00015846"/>
    <w:rsid w:val="000C45B2"/>
    <w:rsid w:val="00155F05"/>
    <w:rsid w:val="0022139D"/>
    <w:rsid w:val="00274D40"/>
    <w:rsid w:val="004921A6"/>
    <w:rsid w:val="00960A8E"/>
    <w:rsid w:val="00A87B25"/>
    <w:rsid w:val="00D20239"/>
    <w:rsid w:val="00EA23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1F8592-E904-4EE6-9F3B-EFAAA81D1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960A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13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389972">
      <w:bodyDiv w:val="1"/>
      <w:marLeft w:val="0"/>
      <w:marRight w:val="0"/>
      <w:marTop w:val="0"/>
      <w:marBottom w:val="0"/>
      <w:divBdr>
        <w:top w:val="none" w:sz="0" w:space="0" w:color="auto"/>
        <w:left w:val="none" w:sz="0" w:space="0" w:color="auto"/>
        <w:bottom w:val="none" w:sz="0" w:space="0" w:color="auto"/>
        <w:right w:val="none" w:sz="0" w:space="0" w:color="auto"/>
      </w:divBdr>
    </w:div>
    <w:div w:id="188296781">
      <w:bodyDiv w:val="1"/>
      <w:marLeft w:val="0"/>
      <w:marRight w:val="0"/>
      <w:marTop w:val="0"/>
      <w:marBottom w:val="0"/>
      <w:divBdr>
        <w:top w:val="none" w:sz="0" w:space="0" w:color="auto"/>
        <w:left w:val="none" w:sz="0" w:space="0" w:color="auto"/>
        <w:bottom w:val="none" w:sz="0" w:space="0" w:color="auto"/>
        <w:right w:val="none" w:sz="0" w:space="0" w:color="auto"/>
      </w:divBdr>
      <w:divsChild>
        <w:div w:id="844898246">
          <w:marLeft w:val="660"/>
          <w:marRight w:val="660"/>
          <w:marTop w:val="0"/>
          <w:marBottom w:val="0"/>
          <w:divBdr>
            <w:top w:val="none" w:sz="0" w:space="0" w:color="auto"/>
            <w:left w:val="none" w:sz="0" w:space="0" w:color="auto"/>
            <w:bottom w:val="none" w:sz="0" w:space="0" w:color="auto"/>
            <w:right w:val="none" w:sz="0" w:space="0" w:color="auto"/>
          </w:divBdr>
          <w:divsChild>
            <w:div w:id="62335557">
              <w:marLeft w:val="0"/>
              <w:marRight w:val="0"/>
              <w:marTop w:val="0"/>
              <w:marBottom w:val="0"/>
              <w:divBdr>
                <w:top w:val="none" w:sz="0" w:space="0" w:color="auto"/>
                <w:left w:val="none" w:sz="0" w:space="0" w:color="auto"/>
                <w:bottom w:val="none" w:sz="0" w:space="0" w:color="auto"/>
                <w:right w:val="none" w:sz="0" w:space="0" w:color="auto"/>
              </w:divBdr>
              <w:divsChild>
                <w:div w:id="921986776">
                  <w:marLeft w:val="0"/>
                  <w:marRight w:val="0"/>
                  <w:marTop w:val="0"/>
                  <w:marBottom w:val="0"/>
                  <w:divBdr>
                    <w:top w:val="none" w:sz="0" w:space="0" w:color="auto"/>
                    <w:left w:val="none" w:sz="0" w:space="0" w:color="auto"/>
                    <w:bottom w:val="none" w:sz="0" w:space="0" w:color="auto"/>
                    <w:right w:val="none" w:sz="0" w:space="0" w:color="auto"/>
                  </w:divBdr>
                  <w:divsChild>
                    <w:div w:id="1794592054">
                      <w:marLeft w:val="0"/>
                      <w:marRight w:val="0"/>
                      <w:marTop w:val="0"/>
                      <w:marBottom w:val="0"/>
                      <w:divBdr>
                        <w:top w:val="none" w:sz="0" w:space="0" w:color="auto"/>
                        <w:left w:val="none" w:sz="0" w:space="0" w:color="auto"/>
                        <w:bottom w:val="none" w:sz="0" w:space="0" w:color="auto"/>
                        <w:right w:val="none" w:sz="0" w:space="0" w:color="auto"/>
                      </w:divBdr>
                      <w:divsChild>
                        <w:div w:id="950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327673">
      <w:bodyDiv w:val="1"/>
      <w:marLeft w:val="0"/>
      <w:marRight w:val="0"/>
      <w:marTop w:val="0"/>
      <w:marBottom w:val="0"/>
      <w:divBdr>
        <w:top w:val="none" w:sz="0" w:space="0" w:color="auto"/>
        <w:left w:val="none" w:sz="0" w:space="0" w:color="auto"/>
        <w:bottom w:val="none" w:sz="0" w:space="0" w:color="auto"/>
        <w:right w:val="none" w:sz="0" w:space="0" w:color="auto"/>
      </w:divBdr>
      <w:divsChild>
        <w:div w:id="720524264">
          <w:marLeft w:val="660"/>
          <w:marRight w:val="660"/>
          <w:marTop w:val="0"/>
          <w:marBottom w:val="0"/>
          <w:divBdr>
            <w:top w:val="none" w:sz="0" w:space="0" w:color="auto"/>
            <w:left w:val="none" w:sz="0" w:space="0" w:color="auto"/>
            <w:bottom w:val="none" w:sz="0" w:space="0" w:color="auto"/>
            <w:right w:val="none" w:sz="0" w:space="0" w:color="auto"/>
          </w:divBdr>
          <w:divsChild>
            <w:div w:id="1222130113">
              <w:marLeft w:val="0"/>
              <w:marRight w:val="0"/>
              <w:marTop w:val="0"/>
              <w:marBottom w:val="0"/>
              <w:divBdr>
                <w:top w:val="none" w:sz="0" w:space="0" w:color="auto"/>
                <w:left w:val="none" w:sz="0" w:space="0" w:color="auto"/>
                <w:bottom w:val="none" w:sz="0" w:space="0" w:color="auto"/>
                <w:right w:val="none" w:sz="0" w:space="0" w:color="auto"/>
              </w:divBdr>
              <w:divsChild>
                <w:div w:id="45418895">
                  <w:marLeft w:val="0"/>
                  <w:marRight w:val="0"/>
                  <w:marTop w:val="0"/>
                  <w:marBottom w:val="0"/>
                  <w:divBdr>
                    <w:top w:val="none" w:sz="0" w:space="0" w:color="auto"/>
                    <w:left w:val="none" w:sz="0" w:space="0" w:color="auto"/>
                    <w:bottom w:val="none" w:sz="0" w:space="0" w:color="auto"/>
                    <w:right w:val="none" w:sz="0" w:space="0" w:color="auto"/>
                  </w:divBdr>
                  <w:divsChild>
                    <w:div w:id="1202745152">
                      <w:marLeft w:val="0"/>
                      <w:marRight w:val="0"/>
                      <w:marTop w:val="0"/>
                      <w:marBottom w:val="0"/>
                      <w:divBdr>
                        <w:top w:val="none" w:sz="0" w:space="0" w:color="auto"/>
                        <w:left w:val="none" w:sz="0" w:space="0" w:color="auto"/>
                        <w:bottom w:val="none" w:sz="0" w:space="0" w:color="auto"/>
                        <w:right w:val="none" w:sz="0" w:space="0" w:color="auto"/>
                      </w:divBdr>
                      <w:divsChild>
                        <w:div w:id="65047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726621">
      <w:bodyDiv w:val="1"/>
      <w:marLeft w:val="0"/>
      <w:marRight w:val="0"/>
      <w:marTop w:val="0"/>
      <w:marBottom w:val="0"/>
      <w:divBdr>
        <w:top w:val="none" w:sz="0" w:space="0" w:color="auto"/>
        <w:left w:val="none" w:sz="0" w:space="0" w:color="auto"/>
        <w:bottom w:val="none" w:sz="0" w:space="0" w:color="auto"/>
        <w:right w:val="none" w:sz="0" w:space="0" w:color="auto"/>
      </w:divBdr>
    </w:div>
    <w:div w:id="103457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2026-06-09T17:54:00Z</dcterms:created>
  <dcterms:modified xsi:type="dcterms:W3CDTF">2026-06-09T20:03:00Z</dcterms:modified>
</cp:coreProperties>
</file>