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18"/>
        </w:rPr>
        <w:t>Lab 1 — Introduction to AI &amp; Paradigms</w:t>
      </w:r>
    </w:p>
    <w:p>
      <w:r>
        <w:rPr>
          <w:rFonts w:ascii="Arial" w:hAnsi="Arial"/>
          <w:sz w:val="18"/>
        </w:rPr>
        <w:t>CAI601400 — Artificial Intelligence Lab | Prepared from the supplied Combined Labs 1–4 manual</w:t>
      </w:r>
    </w:p>
    <w:p>
      <w:pPr>
        <w:pStyle w:val="Heading1"/>
      </w:pPr>
      <w:r>
        <w:rPr>
          <w:rFonts w:ascii="Arial" w:hAnsi="Arial"/>
          <w:sz w:val="18"/>
        </w:rPr>
        <w:t>Purpose and assumptions</w:t>
      </w:r>
    </w:p>
    <w:p>
      <w:r>
        <w:rPr>
          <w:rFonts w:ascii="Arial" w:hAnsi="Arial"/>
          <w:sz w:val="18"/>
        </w:rPr>
        <w:t>This practical contrasts a transparent rule checker with a probability-threshold comparator for scholarship application review. “Review” means send to a human reviewer, never award or reject a scholarship. All numeric thresholds and probabilities are invented teaching inputs. No classifier is trained, and without labelled outcomes no accuracy claim is possible.</w:t>
      </w:r>
    </w:p>
    <w:p>
      <w:pPr>
        <w:pStyle w:val="Heading1"/>
      </w:pPr>
      <w:r>
        <w:rPr>
          <w:rFonts w:ascii="Arial" w:hAnsi="Arial"/>
          <w:sz w:val="18"/>
        </w:rPr>
        <w:t>AI timeline (chronological)</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Milestone</w:t>
            </w:r>
          </w:p>
        </w:tc>
        <w:tc>
          <w:tcPr>
            <w:tcW w:type="dxa" w:w="2160"/>
          </w:tcPr>
          <w:p>
            <w:r>
              <w:t>Significance</w:t>
            </w:r>
          </w:p>
        </w:tc>
        <w:tc>
          <w:tcPr>
            <w:tcW w:type="dxa" w:w="2160"/>
          </w:tcPr>
          <w:p>
            <w:r>
              <w:t>Source</w:t>
            </w:r>
          </w:p>
        </w:tc>
      </w:tr>
      <w:tr>
        <w:tc>
          <w:tcPr>
            <w:tcW w:type="dxa" w:w="2160"/>
          </w:tcPr>
          <w:p>
            <w:r>
              <w:t>1950</w:t>
            </w:r>
          </w:p>
        </w:tc>
        <w:tc>
          <w:tcPr>
            <w:tcW w:type="dxa" w:w="2160"/>
          </w:tcPr>
          <w:p>
            <w:r>
              <w:t>Turing publishes “Computing Machinery and Intelligence”</w:t>
            </w:r>
          </w:p>
        </w:tc>
        <w:tc>
          <w:tcPr>
            <w:tcW w:type="dxa" w:w="2160"/>
          </w:tcPr>
          <w:p>
            <w:r>
              <w:t>Introduces the imitation-game framing as an operational way to discuss machine behavior.</w:t>
            </w:r>
          </w:p>
        </w:tc>
        <w:tc>
          <w:tcPr>
            <w:tcW w:type="dxa" w:w="2160"/>
          </w:tcPr>
          <w:p>
            <w:r>
              <w:t>Turing (1950)</w:t>
            </w:r>
          </w:p>
        </w:tc>
      </w:tr>
      <w:tr>
        <w:tc>
          <w:tcPr>
            <w:tcW w:type="dxa" w:w="2160"/>
          </w:tcPr>
          <w:p>
            <w:r>
              <w:t>1956</w:t>
            </w:r>
          </w:p>
        </w:tc>
        <w:tc>
          <w:tcPr>
            <w:tcW w:type="dxa" w:w="2160"/>
          </w:tcPr>
          <w:p>
            <w:r>
              <w:t>Dartmouth Summer Research Project</w:t>
            </w:r>
          </w:p>
        </w:tc>
        <w:tc>
          <w:tcPr>
            <w:tcW w:type="dxa" w:w="2160"/>
          </w:tcPr>
          <w:p>
            <w:r>
              <w:t>A seminal gathering that established AI as a named research field.</w:t>
            </w:r>
          </w:p>
        </w:tc>
        <w:tc>
          <w:tcPr>
            <w:tcW w:type="dxa" w:w="2160"/>
          </w:tcPr>
          <w:p>
            <w:r>
              <w:t>Dartmouth, n.d.</w:t>
            </w:r>
          </w:p>
        </w:tc>
      </w:tr>
      <w:tr>
        <w:tc>
          <w:tcPr>
            <w:tcW w:type="dxa" w:w="2160"/>
          </w:tcPr>
          <w:p>
            <w:r>
              <w:t>1973</w:t>
            </w:r>
          </w:p>
        </w:tc>
        <w:tc>
          <w:tcPr>
            <w:tcW w:type="dxa" w:w="2160"/>
          </w:tcPr>
          <w:p>
            <w:r>
              <w:t>Lighthill report / first AI winter period</w:t>
            </w:r>
          </w:p>
        </w:tc>
        <w:tc>
          <w:tcPr>
            <w:tcW w:type="dxa" w:w="2160"/>
          </w:tcPr>
          <w:p>
            <w:r>
              <w:t>Critical assessment contributed to reduced UK AI expectations and funding; “AI winter” describes a period, not a single date.</w:t>
            </w:r>
          </w:p>
        </w:tc>
        <w:tc>
          <w:tcPr>
            <w:tcW w:type="dxa" w:w="2160"/>
          </w:tcPr>
          <w:p>
            <w:r>
              <w:t>Agar (2020)</w:t>
            </w:r>
          </w:p>
        </w:tc>
      </w:tr>
      <w:tr>
        <w:tc>
          <w:tcPr>
            <w:tcW w:type="dxa" w:w="2160"/>
          </w:tcPr>
          <w:p>
            <w:r>
              <w:t>1997</w:t>
            </w:r>
          </w:p>
        </w:tc>
        <w:tc>
          <w:tcPr>
            <w:tcW w:type="dxa" w:w="2160"/>
          </w:tcPr>
          <w:p>
            <w:r>
              <w:t>IBM Deep Blue defeats Garry Kasparov in match</w:t>
            </w:r>
          </w:p>
        </w:tc>
        <w:tc>
          <w:tcPr>
            <w:tcW w:type="dxa" w:w="2160"/>
          </w:tcPr>
          <w:p>
            <w:r>
              <w:t>A specialized system demonstrates how parallel compute and domain engineering can achieve superhuman chess performance without general intelligence.</w:t>
            </w:r>
          </w:p>
        </w:tc>
        <w:tc>
          <w:tcPr>
            <w:tcW w:type="dxa" w:w="2160"/>
          </w:tcPr>
          <w:p>
            <w:r>
              <w:t>IBM, n.d.</w:t>
            </w:r>
          </w:p>
        </w:tc>
      </w:tr>
      <w:tr>
        <w:tc>
          <w:tcPr>
            <w:tcW w:type="dxa" w:w="2160"/>
          </w:tcPr>
          <w:p>
            <w:r>
              <w:t>2012</w:t>
            </w:r>
          </w:p>
        </w:tc>
        <w:tc>
          <w:tcPr>
            <w:tcW w:type="dxa" w:w="2160"/>
          </w:tcPr>
          <w:p>
            <w:r>
              <w:t>AlexNet wins ImageNet competition</w:t>
            </w:r>
          </w:p>
        </w:tc>
        <w:tc>
          <w:tcPr>
            <w:tcW w:type="dxa" w:w="2160"/>
          </w:tcPr>
          <w:p>
            <w:r>
              <w:t>Large labelled image data, deep CNNs, GPU implementation and regularization combine for a major benchmark improvement.</w:t>
            </w:r>
          </w:p>
        </w:tc>
        <w:tc>
          <w:tcPr>
            <w:tcW w:type="dxa" w:w="2160"/>
          </w:tcPr>
          <w:p>
            <w:r>
              <w:t>Krizhevsky et al. (2012)</w:t>
            </w:r>
          </w:p>
        </w:tc>
      </w:tr>
    </w:tbl>
    <w:p>
      <w:pPr>
        <w:pStyle w:val="Heading1"/>
      </w:pPr>
      <w:r>
        <w:rPr>
          <w:rFonts w:ascii="Arial" w:hAnsi="Arial"/>
          <w:sz w:val="18"/>
        </w:rPr>
        <w:t>Symbolic versus data-driven comparison</w:t>
      </w:r>
    </w:p>
    <w:p>
      <w:r>
        <w:rPr>
          <w:rFonts w:ascii="Arial" w:hAnsi="Arial"/>
          <w:sz w:val="18"/>
        </w:rPr>
        <w:t>The symbolic checker applies explicit predicates: completeness, score &gt;= 70, GPA &gt;= 2.5, and credits &gt;= 12. The threshold comparator maps an externally supplied probability &gt;= 0.70 to Review. The latter’s input is not produced by a trained model here; its origin is unspecified. Rules are inspectable and policy-aligned but require coverage/maintenance. A learned score can model patterns but depends on representative, validated data, calibration, and monitoring.</w:t>
      </w:r>
    </w:p>
    <w:p>
      <w:pPr>
        <w:pStyle w:val="Heading1"/>
      </w:pPr>
      <w:r>
        <w:rPr>
          <w:rFonts w:ascii="Arial" w:hAnsi="Arial"/>
          <w:sz w:val="18"/>
        </w:rPr>
        <w:t>Four core rule tests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Test/input</w:t>
            </w:r>
          </w:p>
        </w:tc>
        <w:tc>
          <w:tcPr>
            <w:tcW w:type="dxa" w:w="1728"/>
          </w:tcPr>
          <w:p>
            <w:r>
              <w:t>Expected</w:t>
            </w:r>
          </w:p>
        </w:tc>
        <w:tc>
          <w:tcPr>
            <w:tcW w:type="dxa" w:w="1728"/>
          </w:tcPr>
          <w:p>
            <w:r>
              <w:t>Actual</w:t>
            </w:r>
          </w:p>
        </w:tc>
        <w:tc>
          <w:tcPr>
            <w:tcW w:type="dxa" w:w="1728"/>
          </w:tcPr>
          <w:p>
            <w:r>
              <w:t>Reason</w:t>
            </w:r>
          </w:p>
        </w:tc>
        <w:tc>
          <w:tcPr>
            <w:tcW w:type="dxa" w:w="1728"/>
          </w:tcPr>
          <w:p>
            <w:r>
              <w:t>Selection rationale</w:t>
            </w:r>
          </w:p>
        </w:tc>
      </w:tr>
      <w:tr>
        <w:tc>
          <w:tcPr>
            <w:tcW w:type="dxa" w:w="1728"/>
          </w:tcPr>
          <w:p>
            <w:r>
              <w:t>Pass: 80, complete, GPA 3.2, credits 15</w:t>
            </w:r>
          </w:p>
        </w:tc>
        <w:tc>
          <w:tcPr>
            <w:tcW w:type="dxa" w:w="1728"/>
          </w:tcPr>
          <w:p>
            <w:r>
              <w:t>Review</w:t>
            </w:r>
          </w:p>
        </w:tc>
        <w:tc>
          <w:tcPr>
            <w:tcW w:type="dxa" w:w="1728"/>
          </w:tcPr>
          <w:p>
            <w:r>
              <w:t>Review</w:t>
            </w:r>
          </w:p>
        </w:tc>
        <w:tc>
          <w:tcPr>
            <w:tcW w:type="dxa" w:w="1728"/>
          </w:tcPr>
          <w:p>
            <w:r>
              <w:t>All conditions pass</w:t>
            </w:r>
          </w:p>
        </w:tc>
        <w:tc>
          <w:tcPr>
            <w:tcW w:type="dxa" w:w="1728"/>
          </w:tcPr>
          <w:p>
            <w:r>
              <w:t>Positive control</w:t>
            </w:r>
          </w:p>
        </w:tc>
      </w:tr>
      <w:tr>
        <w:tc>
          <w:tcPr>
            <w:tcW w:type="dxa" w:w="1728"/>
          </w:tcPr>
          <w:p>
            <w:r>
              <w:t>GPA fail: 80, complete, 2.4, 15</w:t>
            </w:r>
          </w:p>
        </w:tc>
        <w:tc>
          <w:tcPr>
            <w:tcW w:type="dxa" w:w="1728"/>
          </w:tcPr>
          <w:p>
            <w:r>
              <w:t>Hold</w:t>
            </w:r>
          </w:p>
        </w:tc>
        <w:tc>
          <w:tcPr>
            <w:tcW w:type="dxa" w:w="1728"/>
          </w:tcPr>
          <w:p>
            <w:r>
              <w:t>Hold</w:t>
            </w:r>
          </w:p>
        </w:tc>
        <w:tc>
          <w:tcPr>
            <w:tcW w:type="dxa" w:w="1728"/>
          </w:tcPr>
          <w:p>
            <w:r>
              <w:t>GPA &lt; 2.5</w:t>
            </w:r>
          </w:p>
        </w:tc>
        <w:tc>
          <w:tcPr>
            <w:tcW w:type="dxa" w:w="1728"/>
          </w:tcPr>
          <w:p>
            <w:r>
              <w:t>Isolates first added condition</w:t>
            </w:r>
          </w:p>
        </w:tc>
      </w:tr>
      <w:tr>
        <w:tc>
          <w:tcPr>
            <w:tcW w:type="dxa" w:w="1728"/>
          </w:tcPr>
          <w:p>
            <w:r>
              <w:t>Credits fail: 80, complete, 3.2, 11</w:t>
            </w:r>
          </w:p>
        </w:tc>
        <w:tc>
          <w:tcPr>
            <w:tcW w:type="dxa" w:w="1728"/>
          </w:tcPr>
          <w:p>
            <w:r>
              <w:t>Hold</w:t>
            </w:r>
          </w:p>
        </w:tc>
        <w:tc>
          <w:tcPr>
            <w:tcW w:type="dxa" w:w="1728"/>
          </w:tcPr>
          <w:p>
            <w:r>
              <w:t>Hold</w:t>
            </w:r>
          </w:p>
        </w:tc>
        <w:tc>
          <w:tcPr>
            <w:tcW w:type="dxa" w:w="1728"/>
          </w:tcPr>
          <w:p>
            <w:r>
              <w:t>Credits &lt; 12</w:t>
            </w:r>
          </w:p>
        </w:tc>
        <w:tc>
          <w:tcPr>
            <w:tcW w:type="dxa" w:w="1728"/>
          </w:tcPr>
          <w:p>
            <w:r>
              <w:t>Isolates second added condition</w:t>
            </w:r>
          </w:p>
        </w:tc>
      </w:tr>
      <w:tr>
        <w:tc>
          <w:tcPr>
            <w:tcW w:type="dxa" w:w="1728"/>
          </w:tcPr>
          <w:p>
            <w:r>
              <w:t>Boundary: 70, complete, 2.5, 12</w:t>
            </w:r>
          </w:p>
        </w:tc>
        <w:tc>
          <w:tcPr>
            <w:tcW w:type="dxa" w:w="1728"/>
          </w:tcPr>
          <w:p>
            <w:r>
              <w:t>Review</w:t>
            </w:r>
          </w:p>
        </w:tc>
        <w:tc>
          <w:tcPr>
            <w:tcW w:type="dxa" w:w="1728"/>
          </w:tcPr>
          <w:p>
            <w:r>
              <w:t>Review</w:t>
            </w:r>
          </w:p>
        </w:tc>
        <w:tc>
          <w:tcPr>
            <w:tcW w:type="dxa" w:w="1728"/>
          </w:tcPr>
          <w:p>
            <w:r>
              <w:t>Inclusive score boundary and exact minimums</w:t>
            </w:r>
          </w:p>
        </w:tc>
        <w:tc>
          <w:tcPr>
            <w:tcW w:type="dxa" w:w="1728"/>
          </w:tcPr>
          <w:p>
            <w:r>
              <w:t>Checks &gt;= and equality</w:t>
            </w:r>
          </w:p>
        </w:tc>
      </w:tr>
    </w:tbl>
    <w:p>
      <w:r>
        <w:rPr>
          <w:rFonts w:ascii="Arial" w:hAnsi="Arial"/>
          <w:sz w:val="18"/>
        </w:rPr>
        <w:t>All thresholds are synthetic lab assumptions. These are exactly four core tests, selected to provide a passing control, isolate each new predicate, and exercise the retained score boundary.</w:t>
      </w:r>
    </w:p>
    <w:p>
      <w:pPr>
        <w:pStyle w:val="Heading1"/>
      </w:pPr>
      <w:r>
        <w:rPr>
          <w:rFonts w:ascii="Arial" w:hAnsi="Arial"/>
          <w:sz w:val="18"/>
        </w:rPr>
        <w:t>Probability/rule disagreement experiment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Case</w:t>
            </w:r>
          </w:p>
        </w:tc>
        <w:tc>
          <w:tcPr>
            <w:tcW w:type="dxa" w:w="2160"/>
          </w:tcPr>
          <w:p>
            <w:r>
              <w:t>Symbolic</w:t>
            </w:r>
          </w:p>
        </w:tc>
        <w:tc>
          <w:tcPr>
            <w:tcW w:type="dxa" w:w="2160"/>
          </w:tcPr>
          <w:p>
            <w:r>
              <w:t>Probability threshold</w:t>
            </w:r>
          </w:p>
        </w:tc>
        <w:tc>
          <w:tcPr>
            <w:tcW w:type="dxa" w:w="2160"/>
          </w:tcPr>
          <w:p>
            <w:r>
              <w:t>Disagreement</w:t>
            </w:r>
          </w:p>
        </w:tc>
      </w:tr>
      <w:tr>
        <w:tc>
          <w:tcPr>
            <w:tcW w:type="dxa" w:w="2160"/>
          </w:tcPr>
          <w:p>
            <w:r>
              <w:t>complete_high</w:t>
            </w:r>
          </w:p>
        </w:tc>
        <w:tc>
          <w:tcPr>
            <w:tcW w:type="dxa" w:w="2160"/>
          </w:tcPr>
          <w:p>
            <w:r>
              <w:t>Review</w:t>
            </w:r>
          </w:p>
        </w:tc>
        <w:tc>
          <w:tcPr>
            <w:tcW w:type="dxa" w:w="2160"/>
          </w:tcPr>
          <w:p>
            <w:r>
              <w:t>Review</w:t>
            </w:r>
          </w:p>
        </w:tc>
        <w:tc>
          <w:tcPr>
            <w:tcW w:type="dxa" w:w="2160"/>
          </w:tcPr>
          <w:p>
            <w:r>
              <w:t>No</w:t>
            </w:r>
          </w:p>
        </w:tc>
      </w:tr>
      <w:tr>
        <w:tc>
          <w:tcPr>
            <w:tcW w:type="dxa" w:w="2160"/>
          </w:tcPr>
          <w:p>
            <w:r>
              <w:t>complete_low</w:t>
            </w:r>
          </w:p>
        </w:tc>
        <w:tc>
          <w:tcPr>
            <w:tcW w:type="dxa" w:w="2160"/>
          </w:tcPr>
          <w:p>
            <w:r>
              <w:t>Hold</w:t>
            </w:r>
          </w:p>
        </w:tc>
        <w:tc>
          <w:tcPr>
            <w:tcW w:type="dxa" w:w="2160"/>
          </w:tcPr>
          <w:p>
            <w:r>
              <w:t>Review</w:t>
            </w:r>
          </w:p>
        </w:tc>
        <w:tc>
          <w:tcPr>
            <w:tcW w:type="dxa" w:w="2160"/>
          </w:tcPr>
          <w:p>
            <w:r>
              <w:t>Yes: score predicate vs supplied p</w:t>
            </w:r>
          </w:p>
        </w:tc>
      </w:tr>
      <w:tr>
        <w:tc>
          <w:tcPr>
            <w:tcW w:type="dxa" w:w="2160"/>
          </w:tcPr>
          <w:p>
            <w:r>
              <w:t>incomplete_high</w:t>
            </w:r>
          </w:p>
        </w:tc>
        <w:tc>
          <w:tcPr>
            <w:tcW w:type="dxa" w:w="2160"/>
          </w:tcPr>
          <w:p>
            <w:r>
              <w:t>Hold</w:t>
            </w:r>
          </w:p>
        </w:tc>
        <w:tc>
          <w:tcPr>
            <w:tcW w:type="dxa" w:w="2160"/>
          </w:tcPr>
          <w:p>
            <w:r>
              <w:t>Review</w:t>
            </w:r>
          </w:p>
        </w:tc>
        <w:tc>
          <w:tcPr>
            <w:tcW w:type="dxa" w:w="2160"/>
          </w:tcPr>
          <w:p>
            <w:r>
              <w:t>Yes: hard completeness rule vs supplied p</w:t>
            </w:r>
          </w:p>
        </w:tc>
      </w:tr>
      <w:tr>
        <w:tc>
          <w:tcPr>
            <w:tcW w:type="dxa" w:w="2160"/>
          </w:tcPr>
          <w:p>
            <w:r>
              <w:t>boundary</w:t>
            </w:r>
          </w:p>
        </w:tc>
        <w:tc>
          <w:tcPr>
            <w:tcW w:type="dxa" w:w="2160"/>
          </w:tcPr>
          <w:p>
            <w:r>
              <w:t>Review</w:t>
            </w:r>
          </w:p>
        </w:tc>
        <w:tc>
          <w:tcPr>
            <w:tcW w:type="dxa" w:w="2160"/>
          </w:tcPr>
          <w:p>
            <w:r>
              <w:t>Review</w:t>
            </w:r>
          </w:p>
        </w:tc>
        <w:tc>
          <w:tcPr>
            <w:tcW w:type="dxa" w:w="2160"/>
          </w:tcPr>
          <w:p>
            <w:r>
              <w:t>No</w:t>
            </w:r>
          </w:p>
        </w:tc>
      </w:tr>
    </w:tbl>
    <w:p>
      <w:r>
        <w:rPr>
          <w:rFonts w:ascii="Arial" w:hAnsi="Arial"/>
          <w:sz w:val="18"/>
        </w:rPr>
        <w:t>The disagreement cases show only different behavior on invented inputs. No ground truth exists, so this is not a model-accuracy comparison.</w:t>
      </w:r>
    </w:p>
    <w:p>
      <w:pPr>
        <w:pStyle w:val="Heading1"/>
      </w:pPr>
      <w:r>
        <w:rPr>
          <w:rFonts w:ascii="Arial" w:hAnsi="Arial"/>
          <w:sz w:val="18"/>
        </w:rPr>
        <w:t>Conversational test versus reliable intelligence</w:t>
      </w:r>
    </w:p>
    <w:p>
      <w:r>
        <w:rPr>
          <w:rFonts w:ascii="Arial" w:hAnsi="Arial"/>
          <w:sz w:val="18"/>
        </w:rPr>
        <w:t>Turing’s imitation game observes whether a text interlocutor can distinguish a machine from a human under the game’s conditions. It does not establish general intelligence, factual grounding, procedural compliance, robustness, or safe outcomes. For example, an assistant could fluently say “the application is eligible because the score is 91” while overlooking that required documents are missing. A suitable additional test is a blinded, held-out set of application records with explicit expected rule outcomes, boundary/missing-field cases, and explanation-to-decision consistency scored against a policy oracle.</w:t>
      </w:r>
    </w:p>
    <w:p>
      <w:pPr>
        <w:pStyle w:val="Heading1"/>
      </w:pPr>
      <w:r>
        <w:rPr>
          <w:rFonts w:ascii="Arial" w:hAnsi="Arial"/>
          <w:sz w:val="18"/>
        </w:rPr>
        <w:t>Failure analysis, responsible practice, and reflection</w:t>
      </w:r>
    </w:p>
    <w:p>
      <w:r>
        <w:rPr>
          <w:rFonts w:ascii="Arial" w:hAnsi="Arial"/>
          <w:sz w:val="18"/>
        </w:rPr>
        <w:t>Edge case: (score=91, complete=False, probability=.88) yields symbolic Hold and threshold Review. Likely cause is that the synthetic probability is independent of completeness and can conflict with a hard policy constraint. Improvement: enforce mandatory eligibility constraints before any probabilistic prioritization; route uncertain or conflicting cases to staff; validate policy with stakeholders. Never use this toy system for real decisions. Reflection: explicit conditions were easy to trace; disagreement demonstrated that matching thresholds alone does not establish correctness. Next iteration would use a documented policy, adversarial/missing-data tests, and independent validation.</w:t>
      </w:r>
    </w:p>
    <w:p>
      <w:pPr>
        <w:pStyle w:val="Heading1"/>
      </w:pPr>
      <w:r>
        <w:rPr>
          <w:rFonts w:ascii="Arial" w:hAnsi="Arial"/>
          <w:sz w:val="18"/>
        </w:rPr>
        <w:t>References</w:t>
      </w:r>
    </w:p>
    <w:p>
      <w:pPr>
        <w:pStyle w:val="ListBullet"/>
      </w:pPr>
      <w:r>
        <w:rPr>
          <w:rFonts w:ascii="Arial" w:hAnsi="Arial"/>
          <w:sz w:val="18"/>
        </w:rPr>
        <w:t>Turing, A. M. (1950). Computing Machinery and Intelligence. Mind, 59(236), 433–460. https://courses.cs.umbc.edu/471/papers/turing.pdf</w:t>
      </w:r>
    </w:p>
    <w:p>
      <w:pPr>
        <w:pStyle w:val="ListBullet"/>
      </w:pPr>
      <w:r>
        <w:rPr>
          <w:rFonts w:ascii="Arial" w:hAnsi="Arial"/>
          <w:sz w:val="18"/>
        </w:rPr>
        <w:t>Dartmouth. (n.d.). The Research Conference Where AI Began (1956). https://home.dartmouth.edu/about/artificial-intelligence-ai-coined-dartmouth</w:t>
      </w:r>
    </w:p>
    <w:p>
      <w:pPr>
        <w:pStyle w:val="ListBullet"/>
      </w:pPr>
      <w:r>
        <w:rPr>
          <w:rFonts w:ascii="Arial" w:hAnsi="Arial"/>
          <w:sz w:val="18"/>
        </w:rPr>
        <w:t>Agar, J. (2020). What is science for? The Lighthill report on artificial intelligence reinterpreted. The British Journal for the History of Science. https://www.cambridge.org/core/journals/british-journal-for-the-history-of-science/article/what-is-science-for-the-lighthill-report-on-artificial-intelligence-reinterpreted/61B13B32988D6A8C58CF8AADD4777789</w:t>
      </w:r>
    </w:p>
    <w:p>
      <w:pPr>
        <w:pStyle w:val="ListBullet"/>
      </w:pPr>
      <w:r>
        <w:rPr>
          <w:rFonts w:ascii="Arial" w:hAnsi="Arial"/>
          <w:sz w:val="18"/>
        </w:rPr>
        <w:t>IBM. (n.d.). Deep Blue. https://www.ibm.com/history/deep-blue</w:t>
      </w:r>
    </w:p>
    <w:p>
      <w:pPr>
        <w:pStyle w:val="ListBullet"/>
      </w:pPr>
      <w:r>
        <w:rPr>
          <w:rFonts w:ascii="Arial" w:hAnsi="Arial"/>
          <w:sz w:val="18"/>
        </w:rPr>
        <w:t>Krizhevsky, A., Sutskever, I., &amp; Hinton, G. (2012). ImageNet Classification with Deep Convolutional Neural Networks. NeurIPS. https://proceedings.neurips.cc/paper/4824-imagenet-classification-with-deep-convolutional-neural-networks.pdf</w:t>
      </w:r>
    </w:p>
    <w:p>
      <w:pPr>
        <w:pStyle w:val="ListBullet"/>
      </w:pPr>
      <w:r>
        <w:rPr>
          <w:rFonts w:ascii="Arial" w:hAnsi="Arial"/>
          <w:sz w:val="18"/>
        </w:rPr>
        <w:t>CAI601400 Artificial Intelligence Lab Manual, Combined Labs 1–4 (course handout supplied with assignment).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