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/>
          <w:sz w:val="18"/>
        </w:rPr>
        <w:t>Lab 2 — Intelligent Agents &amp; PEAS</w:t>
      </w:r>
    </w:p>
    <w:p>
      <w:r>
        <w:rPr>
          <w:rFonts w:ascii="Arial" w:hAnsi="Arial"/>
          <w:sz w:val="18"/>
        </w:rPr>
        <w:t>CAI601400 — Artificial Intelligence Lab | Prepared from the supplied Combined Labs 1–4 manual</w:t>
      </w:r>
    </w:p>
    <w:p>
      <w:pPr>
        <w:pStyle w:val="Heading1"/>
      </w:pPr>
      <w:r>
        <w:rPr>
          <w:rFonts w:ascii="Arial" w:hAnsi="Arial"/>
          <w:sz w:val="18"/>
        </w:rPr>
        <w:t>Objective and assumptions</w:t>
      </w:r>
    </w:p>
    <w:p>
      <w:r>
        <w:rPr>
          <w:rFonts w:ascii="Arial" w:hAnsi="Arial"/>
          <w:sz w:val="18"/>
        </w:rPr>
        <w:t>A deterministic software policy maps temperature in Celsius and a Boolean occupancy reading to a simulated target operating mode. No HVAC hardware is connected. Occupancy priority is explicit: an empty room returns ECO regardless of temperature. The stateful extension remembers its previous target only to suppress repeated identical commands; it does not learn.</w:t>
      </w:r>
    </w:p>
    <w:p>
      <w:pPr>
        <w:pStyle w:val="Heading1"/>
      </w:pPr>
      <w:r>
        <w:rPr>
          <w:rFonts w:ascii="Arial" w:hAnsi="Arial"/>
          <w:sz w:val="18"/>
        </w:rPr>
        <w:t>PEAS specifications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System</w:t>
            </w:r>
          </w:p>
        </w:tc>
        <w:tc>
          <w:tcPr>
            <w:tcW w:type="dxa" w:w="2880"/>
          </w:tcPr>
          <w:p>
            <w:r>
              <w:t>PEAS element</w:t>
            </w:r>
          </w:p>
        </w:tc>
        <w:tc>
          <w:tcPr>
            <w:tcW w:type="dxa" w:w="2880"/>
          </w:tcPr>
          <w:p>
            <w:r>
              <w:t>Concrete entries</w:t>
            </w:r>
          </w:p>
        </w:tc>
      </w:tr>
      <w:tr>
        <w:tc>
          <w:tcPr>
            <w:tcW w:type="dxa" w:w="2880"/>
          </w:tcPr>
          <w:p>
            <w:r>
              <w:t>Delivery robot</w:t>
            </w:r>
          </w:p>
        </w:tc>
        <w:tc>
          <w:tcPr>
            <w:tcW w:type="dxa" w:w="2880"/>
          </w:tcPr>
          <w:p>
            <w:r>
              <w:t>Performance</w:t>
            </w:r>
          </w:p>
        </w:tc>
        <w:tc>
          <w:tcPr>
            <w:tcW w:type="dxa" w:w="2880"/>
          </w:tcPr>
          <w:p>
            <w:r>
              <w:t>Safe deliveries, on-time arrival, low damage/energy, accessibility</w:t>
            </w:r>
          </w:p>
        </w:tc>
      </w:tr>
      <w:tr>
        <w:tc>
          <w:tcPr>
            <w:tcW w:type="dxa" w:w="2880"/>
          </w:tcPr>
          <w:p>
            <w:r>
              <w:t>Delivery robot</w:t>
            </w:r>
          </w:p>
        </w:tc>
        <w:tc>
          <w:tcPr>
            <w:tcW w:type="dxa" w:w="2880"/>
          </w:tcPr>
          <w:p>
            <w:r>
              <w:t>Environment</w:t>
            </w:r>
          </w:p>
        </w:tc>
        <w:tc>
          <w:tcPr>
            <w:tcW w:type="dxa" w:w="2880"/>
          </w:tcPr>
          <w:p>
            <w:r>
              <w:t>Campus paths, buildings, people, weather, delivery locations</w:t>
            </w:r>
          </w:p>
        </w:tc>
      </w:tr>
      <w:tr>
        <w:tc>
          <w:tcPr>
            <w:tcW w:type="dxa" w:w="2880"/>
          </w:tcPr>
          <w:p>
            <w:r>
              <w:t>Delivery robot</w:t>
            </w:r>
          </w:p>
        </w:tc>
        <w:tc>
          <w:tcPr>
            <w:tcW w:type="dxa" w:w="2880"/>
          </w:tcPr>
          <w:p>
            <w:r>
              <w:t>Actuators</w:t>
            </w:r>
          </w:p>
        </w:tc>
        <w:tc>
          <w:tcPr>
            <w:tcW w:type="dxa" w:w="2880"/>
          </w:tcPr>
          <w:p>
            <w:r>
              <w:t>Drive/steer/brake, display/audio alert, parcel compartment lock</w:t>
            </w:r>
          </w:p>
        </w:tc>
      </w:tr>
      <w:tr>
        <w:tc>
          <w:tcPr>
            <w:tcW w:type="dxa" w:w="2880"/>
          </w:tcPr>
          <w:p>
            <w:r>
              <w:t>Delivery robot</w:t>
            </w:r>
          </w:p>
        </w:tc>
        <w:tc>
          <w:tcPr>
            <w:tcW w:type="dxa" w:w="2880"/>
          </w:tcPr>
          <w:p>
            <w:r>
              <w:t>Sensors</w:t>
            </w:r>
          </w:p>
        </w:tc>
        <w:tc>
          <w:tcPr>
            <w:tcW w:type="dxa" w:w="2880"/>
          </w:tcPr>
          <w:p>
            <w:r>
              <w:t>Camera/depth, lidar or range sensor, wheel odometry, GPS/map, battery</w:t>
            </w:r>
          </w:p>
        </w:tc>
      </w:tr>
      <w:tr>
        <w:tc>
          <w:tcPr>
            <w:tcW w:type="dxa" w:w="2880"/>
          </w:tcPr>
          <w:p>
            <w:r>
              <w:t>Student-support agent</w:t>
            </w:r>
          </w:p>
        </w:tc>
        <w:tc>
          <w:tcPr>
            <w:tcW w:type="dxa" w:w="2880"/>
          </w:tcPr>
          <w:p>
            <w:r>
              <w:t>Performance</w:t>
            </w:r>
          </w:p>
        </w:tc>
        <w:tc>
          <w:tcPr>
            <w:tcW w:type="dxa" w:w="2880"/>
          </w:tcPr>
          <w:p>
            <w:r>
              <w:t>Correct grounded answers, student learning, privacy, timely escalation</w:t>
            </w:r>
          </w:p>
        </w:tc>
      </w:tr>
      <w:tr>
        <w:tc>
          <w:tcPr>
            <w:tcW w:type="dxa" w:w="2880"/>
          </w:tcPr>
          <w:p>
            <w:r>
              <w:t>Student-support agent</w:t>
            </w:r>
          </w:p>
        </w:tc>
        <w:tc>
          <w:tcPr>
            <w:tcW w:type="dxa" w:w="2880"/>
          </w:tcPr>
          <w:p>
            <w:r>
              <w:t>Environment</w:t>
            </w:r>
          </w:p>
        </w:tc>
        <w:tc>
          <w:tcPr>
            <w:tcW w:type="dxa" w:w="2880"/>
          </w:tcPr>
          <w:p>
            <w:r>
              <w:t>Student prompt, approved course materials, course calendar, support boundaries</w:t>
            </w:r>
          </w:p>
        </w:tc>
      </w:tr>
      <w:tr>
        <w:tc>
          <w:tcPr>
            <w:tcW w:type="dxa" w:w="2880"/>
          </w:tcPr>
          <w:p>
            <w:r>
              <w:t>Student-support agent</w:t>
            </w:r>
          </w:p>
        </w:tc>
        <w:tc>
          <w:tcPr>
            <w:tcW w:type="dxa" w:w="2880"/>
          </w:tcPr>
          <w:p>
            <w:r>
              <w:t>Actuators</w:t>
            </w:r>
          </w:p>
        </w:tc>
        <w:tc>
          <w:tcPr>
            <w:tcW w:type="dxa" w:w="2880"/>
          </w:tcPr>
          <w:p>
            <w:r>
              <w:t>Answer with citations, ask clarification, link approved resource, escalate to human</w:t>
            </w:r>
          </w:p>
        </w:tc>
      </w:tr>
      <w:tr>
        <w:tc>
          <w:tcPr>
            <w:tcW w:type="dxa" w:w="2880"/>
          </w:tcPr>
          <w:p>
            <w:r>
              <w:t>Student-support agent</w:t>
            </w:r>
          </w:p>
        </w:tc>
        <w:tc>
          <w:tcPr>
            <w:tcW w:type="dxa" w:w="2880"/>
          </w:tcPr>
          <w:p>
            <w:r>
              <w:t>Sensors</w:t>
            </w:r>
          </w:p>
        </w:tc>
        <w:tc>
          <w:tcPr>
            <w:tcW w:type="dxa" w:w="2880"/>
          </w:tcPr>
          <w:p>
            <w:r>
              <w:t>User text, permitted uploaded materials, read-only approved course FAQ search results</w:t>
            </w:r>
          </w:p>
        </w:tc>
      </w:tr>
    </w:tbl>
    <w:p>
      <w:r>
        <w:rPr>
          <w:rFonts w:ascii="Arial" w:hAnsi="Arial"/>
          <w:sz w:val="18"/>
        </w:rPr>
        <w:t>Trade-offs: robot speed must not override collision avoidance; student-support response speed must not override factual grounding or privacy. Tool assumption: read-only retrieval from approved course materials only; no grades or record-changing tools.</w:t>
      </w:r>
    </w:p>
    <w:p>
      <w:pPr>
        <w:pStyle w:val="Heading1"/>
      </w:pPr>
      <w:r>
        <w:rPr>
          <w:rFonts w:ascii="Arial" w:hAnsi="Arial"/>
          <w:sz w:val="18"/>
        </w:rPr>
        <w:t>Environment classification</w:t>
      </w:r>
    </w:p>
    <w:p>
      <w:r>
        <w:rPr>
          <w:rFonts w:ascii="Arial" w:hAnsi="Arial"/>
          <w:sz w:val="18"/>
        </w:rPr>
        <w:t>Delivery robot (real campus): partially observable (other people/temporary obstacles may be outside sensor coverage) and stochastic (motion, localization and pedestrian behavior vary). A simulator with complete state and deterministic transition rules can instead be fully observable and deterministic by construction. Student-support LLM agent: partially observable (it sees only supplied prompt/context, not unshared student circumstances) and stochastic at the output level (generation may vary); tool outcomes such as external service responses may also vary. Assumption: it may search only approved course materials and provide links; it cannot access grades, submit work, or change records. A frozen deterministic inference configuration would alter output uncertainty but not solve partial observability.</w:t>
      </w:r>
    </w:p>
    <w:p>
      <w:pPr>
        <w:pStyle w:val="Heading1"/>
      </w:pPr>
      <w:r>
        <w:rPr>
          <w:rFonts w:ascii="Arial" w:hAnsi="Arial"/>
          <w:sz w:val="18"/>
        </w:rPr>
        <w:t>Agent trace and implementation</w:t>
      </w:r>
    </w:p>
    <w:p>
      <w:r>
        <w:rPr>
          <w:rFonts w:ascii="Arial" w:hAnsi="Arial"/>
          <w:sz w:val="18"/>
        </w:rPr>
        <w:t>Actual output from lab2_model.py:</w:t>
      </w:r>
    </w:p>
    <w:p>
      <w:pPr>
        <w:pStyle w:val="NoSpacing"/>
      </w:pPr>
      <w:r>
        <w:rPr>
          <w:rFonts w:ascii="Arial" w:hAnsi="Arial"/>
          <w:sz w:val="18"/>
        </w:rPr>
        <w:t>$ python3 lab2_model.py</w:t>
        <w:br/>
        <w:t>step | previous | percept | target | command</w:t>
        <w:br/>
        <w:t>1 | None | (29, True) | COOL | SEND</w:t>
        <w:br/>
        <w:t>2 | COOL | (29, True) | COOL | NO COMMAND</w:t>
        <w:br/>
        <w:t>3 | COOL | (20, True) | IDLE | SEND</w:t>
        <w:br/>
        <w:t>4 | IDLE | (26, True) | IDLE | NO COMMAND</w:t>
        <w:br/>
        <w:t>5 | IDLE | (19, True) | WARM | SEND</w:t>
        <w:br/>
        <w:t>6 | WARM | (29, False) | ECO | SEND</w:t>
        <w:br/>
        <w:br/>
        <w:t>$ python3 lab2_percepts.py</w:t>
        <w:br/>
        <w:t>1 (29, True) target mode COOL</w:t>
        <w:br/>
        <w:t>2 (29, True) target mode COOL</w:t>
        <w:br/>
        <w:t>3 (20, True) target mode IDLE</w:t>
        <w:br/>
        <w:t>4 (26, True) target mode IDLE</w:t>
        <w:br/>
        <w:t>5 (19, True) target mode WARM</w:t>
        <w:br/>
        <w:t>6 (29, False) target mode ECO</w:t>
        <w:br/>
      </w:r>
    </w:p>
    <w:p>
      <w:r>
        <w:rPr>
          <w:rFonts w:ascii="Arial" w:hAnsi="Arial"/>
          <w:sz w:val="18"/>
        </w:rPr>
        <w:t>Repeated percept (29, True) returns COOL twice but sends only the first command. Boundaries 20°C and 26°C are IDLE while occupied. Then 19°C switches to WARM and 29°C while unoccupied switches to ECO.</w:t>
      </w:r>
    </w:p>
    <w:p>
      <w:pPr>
        <w:pStyle w:val="Heading1"/>
      </w:pPr>
      <w:r>
        <w:rPr>
          <w:rFonts w:ascii="Arial" w:hAnsi="Arial"/>
          <w:sz w:val="18"/>
        </w:rPr>
        <w:t>Boundary and edge-case analysis</w:t>
      </w:r>
    </w:p>
    <w:p>
      <w:r>
        <w:rPr>
          <w:rFonts w:ascii="Arial" w:hAnsi="Arial"/>
          <w:sz w:val="18"/>
        </w:rPr>
        <w:t>At occupied temperature 20 or 26 degrees, both strict comparisons are false so target is IDLE. Just above 26 gives COOL; just below 20 gives WARM. A temperature sensor oscillating around 26 can alternate COOL/IDLE; retaining previous mode and suppressing duplicates does not implement hysteresis. Improvement for a real controller would require validated sensors, a deadband/hysteresis policy, safety limits, and human/engineering approval. Performance must trade comfort, energy, and safety rather than rewarding speed alone.</w:t>
      </w:r>
    </w:p>
    <w:p>
      <w:pPr>
        <w:pStyle w:val="Heading1"/>
      </w:pPr>
      <w:r>
        <w:rPr>
          <w:rFonts w:ascii="Arial" w:hAnsi="Arial"/>
          <w:sz w:val="18"/>
        </w:rPr>
        <w:t>Classical versus LLM-based agents</w:t>
      </w:r>
    </w:p>
    <w:p>
      <w:r>
        <w:rPr>
          <w:rFonts w:ascii="Arial" w:hAnsi="Arial"/>
          <w:sz w:val="18"/>
        </w:rPr>
        <w:t>The classroom controller is a classical deterministic rule policy with a small explicit state. An LLM agent can interpret flexible language and use tools, but can produce unsupported answers; tool permissions and verification boundaries must be explicit. PEAS describes the task environment, not the policy’s correctness.</w:t>
      </w:r>
    </w:p>
    <w:p>
      <w:pPr>
        <w:pStyle w:val="Heading1"/>
      </w:pPr>
      <w:r>
        <w:rPr>
          <w:rFonts w:ascii="Arial" w:hAnsi="Arial"/>
          <w:sz w:val="18"/>
        </w:rPr>
        <w:t>Reflection and responsible practice</w:t>
      </w:r>
    </w:p>
    <w:p>
      <w:r>
        <w:rPr>
          <w:rFonts w:ascii="Arial" w:hAnsi="Arial"/>
          <w:sz w:val="18"/>
        </w:rPr>
        <w:t>The experiment shows how a memory variable changes the command trace without changing desired target decisions. In deployment, sensor uncertainty, occupant comfort and actuator behavior must be measured rather than assumed. A safe student-support system should cite approved sources, disclose uncertainty, and escalate high-impact cases.</w:t>
      </w:r>
    </w:p>
    <w:p>
      <w:pPr>
        <w:pStyle w:val="Heading1"/>
      </w:pPr>
      <w:r>
        <w:rPr>
          <w:rFonts w:ascii="Arial" w:hAnsi="Arial"/>
          <w:sz w:val="18"/>
        </w:rPr>
        <w:t>References</w:t>
      </w:r>
    </w:p>
    <w:p>
      <w:pPr>
        <w:pStyle w:val="ListBullet"/>
      </w:pPr>
      <w:r>
        <w:rPr>
          <w:rFonts w:ascii="Arial" w:hAnsi="Arial"/>
          <w:sz w:val="18"/>
        </w:rPr>
        <w:t>Turing, A. M. (1950). Computing Machinery and Intelligence. Mind, 59(236), 433–460. https://courses.cs.umbc.edu/471/papers/turing.pdf</w:t>
      </w:r>
    </w:p>
    <w:p>
      <w:pPr>
        <w:pStyle w:val="ListBullet"/>
      </w:pPr>
      <w:r>
        <w:rPr>
          <w:rFonts w:ascii="Arial" w:hAnsi="Arial"/>
          <w:sz w:val="18"/>
        </w:rPr>
        <w:t>Dartmouth. (n.d.). The Research Conference Where AI Began (1956). https://home.dartmouth.edu/about/artificial-intelligence-ai-coined-dartmouth</w:t>
      </w:r>
    </w:p>
    <w:p>
      <w:pPr>
        <w:pStyle w:val="ListBullet"/>
      </w:pPr>
      <w:r>
        <w:rPr>
          <w:rFonts w:ascii="Arial" w:hAnsi="Arial"/>
          <w:sz w:val="18"/>
        </w:rPr>
        <w:t>Agar, J. (2020). What is science for? The Lighthill report on artificial intelligence reinterpreted. The British Journal for the History of Science. https://www.cambridge.org/core/journals/british-journal-for-the-history-of-science/article/what-is-science-for-the-lighthill-report-on-artificial-intelligence-reinterpreted/61B13B32988D6A8C58CF8AADD4777789</w:t>
      </w:r>
    </w:p>
    <w:p>
      <w:pPr>
        <w:pStyle w:val="ListBullet"/>
      </w:pPr>
      <w:r>
        <w:rPr>
          <w:rFonts w:ascii="Arial" w:hAnsi="Arial"/>
          <w:sz w:val="18"/>
        </w:rPr>
        <w:t>IBM. (n.d.). Deep Blue. https://www.ibm.com/history/deep-blue</w:t>
      </w:r>
    </w:p>
    <w:p>
      <w:pPr>
        <w:pStyle w:val="ListBullet"/>
      </w:pPr>
      <w:r>
        <w:rPr>
          <w:rFonts w:ascii="Arial" w:hAnsi="Arial"/>
          <w:sz w:val="18"/>
        </w:rPr>
        <w:t>Krizhevsky, A., Sutskever, I., &amp; Hinton, G. (2012). ImageNet Classification with Deep Convolutional Neural Networks. NeurIPS. https://proceedings.neurips.cc/paper/4824-imagenet-classification-with-deep-convolutional-neural-networks.pdf</w:t>
      </w:r>
    </w:p>
    <w:p>
      <w:pPr>
        <w:pStyle w:val="ListBullet"/>
      </w:pPr>
      <w:r>
        <w:rPr>
          <w:rFonts w:ascii="Arial" w:hAnsi="Arial"/>
          <w:sz w:val="18"/>
        </w:rPr>
        <w:t>CAI601400 Artificial Intelligence Lab Manual, Combined Labs 1–4 (course handout supplied with assignment).</w:t>
      </w:r>
    </w:p>
    <w:sectPr w:rsidR="00FC693F" w:rsidRPr="0006063C" w:rsidSect="00034616">
      <w:pgSz w:w="12240" w:h="15840"/>
      <w:pgMar w:top="936" w:right="1800" w:bottom="936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