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Reconstruction and Evaluation of a Multilayer Perceptron with Adaptive Architecture</w:t>
      </w:r>
    </w:p>
    <w:p>
      <w:pPr>
        <w:spacing w:after="400"/>
        <w:jc w:val="center"/>
      </w:pPr>
      <w:r>
        <w:rPr>
          <w:rFonts w:ascii="Times New Roman" w:cs="Times New Roman" w:eastAsia="Times New Roman" w:hAnsi="Times New Roman"/>
          <w:sz w:val="24"/>
          <w:szCs w:val="24"/>
        </w:rPr>
        <w:t xml:space="preserve">Kamran Asadov</w:t>
      </w:r>
    </w:p>
    <w:p>
      <w:pPr>
        <w:pStyle w:val="Heading1"/>
        <w:spacing w:after="200" w:before="360"/>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This work revisits a 2015 bachelor’s thesis implementing a multilayer perceptron with adaptive architecture. On revision, the original implementation was found to contain several errors — most consequentially, training against an incorrect target column. The network was rebuilt from scratch in vectorized NumPy, and the adaptive mechanisms (neuron growth and pruning) were reimplemented and evaluated on two datasets with contrasting capacity requirements.</w:t>
      </w:r>
    </w:p>
    <w:p>
      <w:pPr>
        <w:pStyle w:val="Heading1"/>
        <w:spacing w:after="200" w:before="360"/>
      </w:pPr>
      <w:r>
        <w:rPr>
          <w:rFonts w:ascii="Times New Roman" w:cs="Times New Roman" w:eastAsia="Times New Roman" w:hAnsi="Times New Roman"/>
          <w:b/>
          <w:bCs/>
          <w:sz w:val="28"/>
          <w:szCs w:val="28"/>
        </w:rPr>
        <w:t xml:space="preserve">1. Errors in the original implementation</w:t>
      </w:r>
    </w:p>
    <w:p>
      <w:pPr>
        <w:spacing w:after="200" w:line="360"/>
        <w:jc w:val="both"/>
      </w:pPr>
      <w:r>
        <w:rPr>
          <w:rFonts w:ascii="Times New Roman" w:cs="Times New Roman" w:eastAsia="Times New Roman" w:hAnsi="Times New Roman"/>
          <w:sz w:val="24"/>
          <w:szCs w:val="24"/>
        </w:rPr>
        <w:t xml:space="preserve">The original implementation contained five substantive errors. Most consequentially, the model was trained against the wrong target column — the label was column 0, but the code used the final column, meaning the network was fitting an arbitrary binary feature rather than the diagnosis. Second, the bias term was fixed at a constant value of 1 and never updated, leaving the output layer with a frozen, unlearnable offset and the hidden layer with no bias at all. Third, backpropagation computed the hidden-layer error using output weights that had already been updated in the same step, rather than propagating error through the original weights. Fourth, all matrix operations were implemented as explicit Python loops, making training slow. Fifth, the code was written for Python 2 and would not execute on a modern interpreter.</w:t>
      </w:r>
    </w:p>
    <w:p>
      <w:pPr>
        <w:pStyle w:val="Heading1"/>
        <w:spacing w:after="200" w:before="360"/>
      </w:pPr>
      <w:r>
        <w:rPr>
          <w:rFonts w:ascii="Times New Roman" w:cs="Times New Roman" w:eastAsia="Times New Roman" w:hAnsi="Times New Roman"/>
          <w:b/>
          <w:bCs/>
          <w:sz w:val="28"/>
          <w:szCs w:val="28"/>
        </w:rPr>
        <w:t xml:space="preserve">2. Rebuild</w:t>
      </w:r>
    </w:p>
    <w:p>
      <w:pPr>
        <w:spacing w:after="200" w:line="360"/>
        <w:jc w:val="both"/>
      </w:pPr>
      <w:r>
        <w:rPr>
          <w:rFonts w:ascii="Times New Roman" w:cs="Times New Roman" w:eastAsia="Times New Roman" w:hAnsi="Times New Roman"/>
          <w:sz w:val="24"/>
          <w:szCs w:val="24"/>
        </w:rPr>
        <w:t xml:space="preserve">The implementation was rewritten from scratch in Python 3. All explicit loops over weight matrices were replaced with vectorized NumPy operations, which execute as compiled routines rather than through the Python interpreter, substantially reducing training time. The rebuild reduced the codebase from approximately 300 lines to 90; the majority of the removed code was the element-wise loop machinery that vectorization makes unnecessary.</w:t>
      </w:r>
    </w:p>
    <w:p>
      <w:pPr>
        <w:spacing w:after="200" w:line="360"/>
        <w:jc w:val="both"/>
      </w:pPr>
      <w:r>
        <w:rPr>
          <w:rFonts w:ascii="Times New Roman" w:cs="Times New Roman" w:eastAsia="Times New Roman" w:hAnsi="Times New Roman"/>
          <w:i w:val="false"/>
          <w:iCs w:val="false"/>
          <w:sz w:val="24"/>
          <w:szCs w:val="24"/>
        </w:rPr>
        <w:t xml:space="preserve">The core network — data loading, parameter initialization, forward pass, binary cross-entropy loss, backpropagation, and parameter updates — was implemented and verified function by function before any adaptive mechanisms were reintroduced. This sequencing was deliberate: in the original implementation, the adaptive routines modified the network structure during training while the backpropagation itself was incorrect, so a poor result could not be attributed to either cause. Isolating and verifying a fixed-architecture core first made the underlying errors identifiable. The growth and pruning routines were then reimplemented against this verified core and evaluated on the SPECT dataset and on </w:t>
      </w:r>
      <w:r>
        <w:rPr>
          <w:rFonts w:ascii="Courier New" w:cs="Courier New" w:eastAsia="Courier New" w:hAnsi="Courier New"/>
          <w:i w:val="false"/>
          <w:iCs w:val="false"/>
          <w:sz w:val="24"/>
          <w:szCs w:val="24"/>
        </w:rPr>
        <w:t xml:space="preserve">make_moons</w:t>
      </w:r>
      <w:r>
        <w:rPr>
          <w:rFonts w:ascii="Times New Roman" w:cs="Times New Roman" w:eastAsia="Times New Roman" w:hAnsi="Times New Roman"/>
          <w:i w:val="false"/>
          <w:iCs w:val="false"/>
          <w:sz w:val="24"/>
          <w:szCs w:val="24"/>
        </w:rPr>
        <w:t xml:space="preserve"> from scikit-learn.</w:t>
      </w:r>
    </w:p>
    <w:p>
      <w:pPr>
        <w:pStyle w:val="Heading1"/>
        <w:spacing w:after="200" w:before="360"/>
      </w:pPr>
      <w:r>
        <w:rPr>
          <w:rFonts w:ascii="Times New Roman" w:cs="Times New Roman" w:eastAsia="Times New Roman" w:hAnsi="Times New Roman"/>
          <w:b/>
          <w:bCs/>
          <w:sz w:val="28"/>
          <w:szCs w:val="28"/>
        </w:rPr>
        <w:t xml:space="preserve">3. Evaluation methodology</w:t>
      </w:r>
    </w:p>
    <w:p>
      <w:pPr>
        <w:spacing w:after="200" w:line="360"/>
        <w:jc w:val="both"/>
      </w:pPr>
      <w:r>
        <w:rPr>
          <w:rFonts w:ascii="Times New Roman" w:cs="Times New Roman" w:eastAsia="Times New Roman" w:hAnsi="Times New Roman"/>
          <w:i w:val="false"/>
          <w:iCs w:val="false"/>
          <w:sz w:val="24"/>
          <w:szCs w:val="24"/>
        </w:rPr>
        <w:t xml:space="preserve">The SPECT dataset is provided as a fixed split in which the training set is balanced (40 positive, 40 negative) while the test set is substantially imbalanced (172 positive, 15 negative). Accuracy is a misleading measure under this distribution: a classifier that predicts the majority class unconditionally achieves approximately 92% test accuracy while learning nothing. Evaluation therefore reports the confusion matrix along with per-class precision, recall, and F1, using scikit-learn’s </w:t>
      </w:r>
      <w:r>
        <w:rPr>
          <w:rFonts w:ascii="Courier New" w:cs="Courier New" w:eastAsia="Courier New" w:hAnsi="Courier New"/>
          <w:i w:val="false"/>
          <w:iCs w:val="false"/>
          <w:sz w:val="24"/>
          <w:szCs w:val="24"/>
        </w:rPr>
        <w:t xml:space="preserve">classification_report</w:t>
      </w:r>
      <w:r>
        <w:rPr>
          <w:rFonts w:ascii="Times New Roman" w:cs="Times New Roman" w:eastAsia="Times New Roman" w:hAnsi="Times New Roman"/>
          <w:i w:val="false"/>
          <w:iCs w:val="false"/>
          <w:sz w:val="24"/>
          <w:szCs w:val="24"/>
        </w:rPr>
        <w:t xml:space="preserve">. Macro-averaged F1 is used as the primary summary metric, as it weights each class equally and is not inflated by majority-class performance; weighted averaging and raw accuracy both obscure minority-class failure on this split. On the rebuilt network, test accuracy of 77.5% corresponded to a macro-F1 of 0.59, with class-wise F1 scores of 0.87 and 0.32 for the majority and minority classes respectively.</w:t>
      </w:r>
    </w:p>
    <w:p>
      <w:pPr>
        <w:pStyle w:val="Heading1"/>
        <w:spacing w:after="200" w:before="360"/>
      </w:pPr>
      <w:r>
        <w:rPr>
          <w:rFonts w:ascii="Times New Roman" w:cs="Times New Roman" w:eastAsia="Times New Roman" w:hAnsi="Times New Roman"/>
          <w:b/>
          <w:bCs/>
          <w:sz w:val="28"/>
          <w:szCs w:val="28"/>
        </w:rPr>
        <w:t xml:space="preserve">4. Pruning</w:t>
      </w:r>
    </w:p>
    <w:p>
      <w:pPr>
        <w:spacing w:after="200" w:line="360"/>
        <w:jc w:val="both"/>
      </w:pPr>
      <w:r>
        <w:rPr>
          <w:rFonts w:ascii="Times New Roman" w:cs="Times New Roman" w:eastAsia="Times New Roman" w:hAnsi="Times New Roman"/>
          <w:i w:val="false"/>
          <w:iCs w:val="false"/>
          <w:sz w:val="24"/>
          <w:szCs w:val="24"/>
        </w:rPr>
        <w:t xml:space="preserve">Pruning was implemented as an iterative reduce-and-retrain procedure. At each step, the hidden neuron with the smallest absolute outgoing weight in </w:t>
      </w:r>
      <w:r>
        <w:rPr>
          <w:rFonts w:ascii="Courier New" w:cs="Courier New" w:eastAsia="Courier New" w:hAnsi="Courier New"/>
          <w:i w:val="false"/>
          <w:iCs w:val="false"/>
          <w:sz w:val="24"/>
          <w:szCs w:val="24"/>
        </w:rPr>
        <w:t xml:space="preserve">W2</w:t>
      </w:r>
      <w:r>
        <w:rPr>
          <w:rFonts w:ascii="Times New Roman" w:cs="Times New Roman" w:eastAsia="Times New Roman" w:hAnsi="Times New Roman"/>
          <w:i w:val="false"/>
          <w:iCs w:val="false"/>
          <w:sz w:val="24"/>
          <w:szCs w:val="24"/>
        </w:rPr>
        <w:t xml:space="preserve"> is removed — deleting the corresponding column of </w:t>
      </w:r>
      <w:r>
        <w:rPr>
          <w:rFonts w:ascii="Courier New" w:cs="Courier New" w:eastAsia="Courier New" w:hAnsi="Courier New"/>
          <w:i w:val="false"/>
          <w:iCs w:val="false"/>
          <w:sz w:val="24"/>
          <w:szCs w:val="24"/>
        </w:rPr>
        <w:t xml:space="preserve">W1</w:t>
      </w:r>
      <w:r>
        <w:rPr>
          <w:rFonts w:ascii="Times New Roman" w:cs="Times New Roman" w:eastAsia="Times New Roman" w:hAnsi="Times New Roman"/>
          <w:i w:val="false"/>
          <w:iCs w:val="false"/>
          <w:sz w:val="24"/>
          <w:szCs w:val="24"/>
        </w:rPr>
        <w:t xml:space="preserve">, entry of </w:t>
      </w:r>
      <w:r>
        <w:rPr>
          <w:rFonts w:ascii="Courier New" w:cs="Courier New" w:eastAsia="Courier New" w:hAnsi="Courier New"/>
          <w:i w:val="false"/>
          <w:iCs w:val="false"/>
          <w:sz w:val="24"/>
          <w:szCs w:val="24"/>
        </w:rPr>
        <w:t xml:space="preserve">b1</w:t>
      </w:r>
      <w:r>
        <w:rPr>
          <w:rFonts w:ascii="Times New Roman" w:cs="Times New Roman" w:eastAsia="Times New Roman" w:hAnsi="Times New Roman"/>
          <w:i w:val="false"/>
          <w:iCs w:val="false"/>
          <w:sz w:val="24"/>
          <w:szCs w:val="24"/>
        </w:rPr>
        <w:t xml:space="preserve">, and row of </w:t>
      </w:r>
      <w:r>
        <w:rPr>
          <w:rFonts w:ascii="Courier New" w:cs="Courier New" w:eastAsia="Courier New" w:hAnsi="Courier New"/>
          <w:i w:val="false"/>
          <w:iCs w:val="false"/>
          <w:sz w:val="24"/>
          <w:szCs w:val="24"/>
        </w:rPr>
        <w:t xml:space="preserve">W2</w:t>
      </w:r>
      <w:r>
        <w:rPr>
          <w:rFonts w:ascii="Times New Roman" w:cs="Times New Roman" w:eastAsia="Times New Roman" w:hAnsi="Times New Roman"/>
          <w:i w:val="false"/>
          <w:iCs w:val="false"/>
          <w:sz w:val="24"/>
          <w:szCs w:val="24"/>
        </w:rPr>
        <w:t xml:space="preserve"> — and the reduced network is retrained. The cut is accepted if the retrained training loss remains within a fixed tolerance of the original full-network baseline, and rejected otherwise, in which case the previous architecture is restored and pruning halts. Comparison is made against the original baseline rather than the previous step’s loss, to prevent cumulative degradation across successive cuts.</w:t>
      </w:r>
    </w:p>
    <w:p>
      <w:pPr>
        <w:spacing w:after="200" w:line="360"/>
        <w:jc w:val="both"/>
      </w:pPr>
      <w:r>
        <w:rPr>
          <w:rFonts w:ascii="Times New Roman" w:cs="Times New Roman" w:eastAsia="Times New Roman" w:hAnsi="Times New Roman"/>
          <w:sz w:val="24"/>
          <w:szCs w:val="24"/>
        </w:rPr>
        <w:t xml:space="preserve">On SPECT, this procedure converges to three hidden neurons regardless of starting size, and refuses to prune below three. Two independent analyses were run alongside it. A capacity sweep training fixed architectures from 1 to 32 hidden neurons found test macro-F1 essentially flat across the range (0.57–0.60), indicating no capacity-driven improvement. Stratified 5-fold cross-validation on the training set gave cross-validated macro-F1 between 0.58 and 0.64 across sizes 1 through 8, with per-size standard deviations (0.05–0.14) exceeding the differences between sizes.</w:t>
      </w:r>
    </w:p>
    <w:p>
      <w:pPr>
        <w:spacing w:after="200" w:line="360"/>
        <w:jc w:val="both"/>
      </w:pPr>
      <w:r>
        <w:rPr>
          <w:rFonts w:ascii="Times New Roman" w:cs="Times New Roman" w:eastAsia="Times New Roman" w:hAnsi="Times New Roman"/>
          <w:sz w:val="24"/>
          <w:szCs w:val="24"/>
        </w:rPr>
        <w:t xml:space="preserve">These results are consistent but answer different questions. Pruning identifies three neurons as the minimal architecture preserving training fit; the sweep and cross-validation indicate that generalization is insensitive to hidden-layer size on this task, with no size reliably outperforming another. The task is not capacity-limited, and the pruning result should be read as a statement about minimal sufficient capacity rather than optimal capacity.</w:t>
      </w:r>
    </w:p>
    <w:p>
      <w:pPr>
        <w:pStyle w:val="Heading1"/>
        <w:spacing w:after="200" w:before="360"/>
      </w:pPr>
      <w:r>
        <w:rPr>
          <w:rFonts w:ascii="Times New Roman" w:cs="Times New Roman" w:eastAsia="Times New Roman" w:hAnsi="Times New Roman"/>
          <w:b/>
          <w:bCs/>
          <w:sz w:val="28"/>
          <w:szCs w:val="28"/>
        </w:rPr>
        <w:t xml:space="preserve">5. Growth</w:t>
      </w:r>
    </w:p>
    <w:p>
      <w:pPr>
        <w:spacing w:after="200" w:line="360"/>
        <w:jc w:val="both"/>
      </w:pPr>
      <w:r>
        <w:rPr>
          <w:rFonts w:ascii="Times New Roman" w:cs="Times New Roman" w:eastAsia="Times New Roman" w:hAnsi="Times New Roman"/>
          <w:sz w:val="24"/>
          <w:szCs w:val="24"/>
        </w:rPr>
        <w:t xml:space="preserve">The SPECT results indicate a task where hidden-layer capacity is not the limiting factor: performance is flat across architectures, and the observed train–test gap is attributable to the distribution shift between the balanced training split and the imbalanced test split rather than to model capacity. Growth mechanisms cannot be meaningfully demonstrated under these conditions, since additional capacity produces no measurable benefit.</w:t>
      </w:r>
    </w:p>
    <w:p>
      <w:pPr>
        <w:spacing w:after="200" w:line="360"/>
        <w:jc w:val="both"/>
      </w:pPr>
      <w:r>
        <w:rPr>
          <w:rFonts w:ascii="Times New Roman" w:cs="Times New Roman" w:eastAsia="Times New Roman" w:hAnsi="Times New Roman"/>
          <w:i w:val="false"/>
          <w:iCs w:val="false"/>
          <w:sz w:val="24"/>
          <w:szCs w:val="24"/>
        </w:rPr>
        <w:t xml:space="preserve">To evaluate the growth mechanism, </w:t>
      </w:r>
      <w:r>
        <w:rPr>
          <w:rFonts w:ascii="Courier New" w:cs="Courier New" w:eastAsia="Courier New" w:hAnsi="Courier New"/>
          <w:i w:val="false"/>
          <w:iCs w:val="false"/>
          <w:sz w:val="24"/>
          <w:szCs w:val="24"/>
        </w:rPr>
        <w:t xml:space="preserve">make_moons</w:t>
      </w:r>
      <w:r>
        <w:rPr>
          <w:rFonts w:ascii="Times New Roman" w:cs="Times New Roman" w:eastAsia="Times New Roman" w:hAnsi="Times New Roman"/>
          <w:i w:val="false"/>
          <w:iCs w:val="false"/>
          <w:sz w:val="24"/>
          <w:szCs w:val="24"/>
        </w:rPr>
        <w:t xml:space="preserve"> (scikit-learn, 300 samples, noise 0.2) was used — a non-linearly-separable binary task in two continuous dimensions. Inputs were standardized using statistics computed on the training split only. A fixed-architecture sweep on this dataset shows a sharp capacity threshold absent in SPECT: test accuracy remains near 86% for 1, 2, and 4 hidden neurons, then rises to 96.0% at 8 and 97.3% at 16.</w:t>
      </w:r>
    </w:p>
    <w:p>
      <w:pPr>
        <w:spacing w:after="200" w:line="360"/>
        <w:jc w:val="both"/>
      </w:pPr>
      <w:r>
        <w:rPr>
          <w:rFonts w:ascii="Times New Roman" w:cs="Times New Roman" w:eastAsia="Times New Roman" w:hAnsi="Times New Roman"/>
          <w:i w:val="false"/>
          <w:iCs w:val="false"/>
          <w:sz w:val="24"/>
          <w:szCs w:val="24"/>
        </w:rPr>
        <w:t xml:space="preserve">Growth was implemented as the inverse of pruning. A new hidden neuron is appended as a column of </w:t>
      </w:r>
      <w:r>
        <w:rPr>
          <w:rFonts w:ascii="Courier New" w:cs="Courier New" w:eastAsia="Courier New" w:hAnsi="Courier New"/>
          <w:i w:val="false"/>
          <w:iCs w:val="false"/>
          <w:sz w:val="24"/>
          <w:szCs w:val="24"/>
        </w:rPr>
        <w:t xml:space="preserve">W1</w:t>
      </w:r>
      <w:r>
        <w:rPr>
          <w:rFonts w:ascii="Times New Roman" w:cs="Times New Roman" w:eastAsia="Times New Roman" w:hAnsi="Times New Roman"/>
          <w:i w:val="false"/>
          <w:iCs w:val="false"/>
          <w:sz w:val="24"/>
          <w:szCs w:val="24"/>
        </w:rPr>
        <w:t xml:space="preserve">, an entry of </w:t>
      </w:r>
      <w:r>
        <w:rPr>
          <w:rFonts w:ascii="Courier New" w:cs="Courier New" w:eastAsia="Courier New" w:hAnsi="Courier New"/>
          <w:i w:val="false"/>
          <w:iCs w:val="false"/>
          <w:sz w:val="24"/>
          <w:szCs w:val="24"/>
        </w:rPr>
        <w:t xml:space="preserve">b1</w:t>
      </w:r>
      <w:r>
        <w:rPr>
          <w:rFonts w:ascii="Times New Roman" w:cs="Times New Roman" w:eastAsia="Times New Roman" w:hAnsi="Times New Roman"/>
          <w:i w:val="false"/>
          <w:iCs w:val="false"/>
          <w:sz w:val="24"/>
          <w:szCs w:val="24"/>
        </w:rPr>
        <w:t xml:space="preserve">, and a row of </w:t>
      </w:r>
      <w:r>
        <w:rPr>
          <w:rFonts w:ascii="Courier New" w:cs="Courier New" w:eastAsia="Courier New" w:hAnsi="Courier New"/>
          <w:i w:val="false"/>
          <w:iCs w:val="false"/>
          <w:sz w:val="24"/>
          <w:szCs w:val="24"/>
        </w:rPr>
        <w:t xml:space="preserve">W2</w:t>
      </w:r>
      <w:r>
        <w:rPr>
          <w:rFonts w:ascii="Times New Roman" w:cs="Times New Roman" w:eastAsia="Times New Roman" w:hAnsi="Times New Roman"/>
          <w:i w:val="false"/>
          <w:iCs w:val="false"/>
          <w:sz w:val="24"/>
          <w:szCs w:val="24"/>
        </w:rPr>
        <w:t xml:space="preserve"> initialized to zero. The zero outgoing weight ensures the newly added neuron contributes nothing to the output at insertion: training loss immediately before and after the operation is identical to sixteen significant figures. The neuron’s influence then grows through backpropagation only if it proves useful, avoiding the loss discontinuity that a randomly initialized neuron would introduce.</w:t>
      </w:r>
    </w:p>
    <w:p>
      <w:pPr>
        <w:spacing w:after="200" w:line="360"/>
        <w:jc w:val="both"/>
      </w:pPr>
      <w:r>
        <w:rPr>
          <w:rFonts w:ascii="Times New Roman" w:cs="Times New Roman" w:eastAsia="Times New Roman" w:hAnsi="Times New Roman"/>
          <w:sz w:val="24"/>
          <w:szCs w:val="24"/>
        </w:rPr>
        <w:t xml:space="preserve">Starting from a single hidden neuron, the procedure grows the network while each added neuron reduces training loss by more than a fixed threshold. Runs converged to 10 and 13 hidden neurons in separate trials, both achieving 100% test accuracy (75/75 held-out samples, macro-F1 1.00) — exceeding the best fixed-size result from the sweep.</w:t>
      </w:r>
    </w:p>
    <w:p>
      <w:pPr>
        <w:spacing w:after="200" w:line="360"/>
        <w:jc w:val="both"/>
      </w:pPr>
      <w:r>
        <w:rPr>
          <w:rFonts w:ascii="Times New Roman" w:cs="Times New Roman" w:eastAsia="Times New Roman" w:hAnsi="Times New Roman"/>
          <w:sz w:val="24"/>
          <w:szCs w:val="24"/>
        </w:rPr>
        <w:t xml:space="preserve">The retrain budget per growth step is a consequential hyperparameter rather than an implementation detail. With 1000 epochs per step, growth from one neuron halts at two: the intermediate architectures have not converged, and their apparent lack of improvement reflects insufficient training rather than insufficient capacity. With 5000 epochs, the same procedure passes through this region and continues to ten neurons. The required budget also depends on the starting architecture — growth from two neurons converged adequately at 2000 epochs per step where growth from one required 5000. A fixed epoch count therefore interacts with the search trajectory to determine the discovered architecture.</w:t>
      </w:r>
    </w:p>
    <w:p>
      <w:pPr>
        <w:pStyle w:val="Heading1"/>
        <w:spacing w:after="200" w:before="360"/>
      </w:pPr>
      <w:r>
        <w:rPr>
          <w:rFonts w:ascii="Times New Roman" w:cs="Times New Roman" w:eastAsia="Times New Roman" w:hAnsi="Times New Roman"/>
          <w:b/>
          <w:bCs/>
          <w:sz w:val="28"/>
          <w:szCs w:val="28"/>
        </w:rPr>
        <w:t xml:space="preserve">6. Limitations</w:t>
      </w:r>
    </w:p>
    <w:p>
      <w:pPr>
        <w:spacing w:after="200" w:line="360"/>
        <w:jc w:val="both"/>
      </w:pPr>
      <w:r>
        <w:rPr>
          <w:rFonts w:ascii="Times New Roman" w:cs="Times New Roman" w:eastAsia="Times New Roman" w:hAnsi="Times New Roman"/>
          <w:sz w:val="24"/>
          <w:szCs w:val="24"/>
        </w:rPr>
        <w:t xml:space="preserve">Several limitations qualify these results.</w:t>
      </w:r>
    </w:p>
    <w:p>
      <w:pPr>
        <w:spacing w:after="200" w:line="360"/>
        <w:jc w:val="both"/>
      </w:pPr>
      <w:r>
        <w:rPr>
          <w:rFonts w:ascii="Times New Roman" w:cs="Times New Roman" w:eastAsia="Times New Roman" w:hAnsi="Times New Roman"/>
          <w:sz w:val="24"/>
          <w:szCs w:val="24"/>
        </w:rPr>
        <w:t xml:space="preserve">The retrain budget per architecture change is a hyperparameter that determines the discovered architecture, as documented above. An undertrained trial is indistinguishable from an architecture that provides no benefit, which causes the search to terminate prematurely. A convergence-based stopping criterion — training each trial until improvement stalls, rather than for a fixed number of epochs — would make the comparison between candidate architectures independent of a manually chosen budget, and is the natural extension of this work.</w:t>
      </w:r>
    </w:p>
    <w:p>
      <w:pPr>
        <w:spacing w:after="200" w:line="360"/>
        <w:jc w:val="both"/>
      </w:pPr>
      <w:r>
        <w:rPr>
          <w:rFonts w:ascii="Times New Roman" w:cs="Times New Roman" w:eastAsia="Times New Roman" w:hAnsi="Times New Roman"/>
          <w:i w:val="false"/>
          <w:iCs w:val="false"/>
          <w:sz w:val="24"/>
          <w:szCs w:val="24"/>
        </w:rPr>
        <w:t xml:space="preserve">Both test sets are small. SPECT provides 187 test samples, of which only 15 belong to the minority class, so per-class metrics for that class are estimated from very few observations and are correspondingly high-variance; this is directly visible in the cross-validation standard deviations, which exceed the differences between architectures. The </w:t>
      </w:r>
      <w:r>
        <w:rPr>
          <w:rFonts w:ascii="Courier New" w:cs="Courier New" w:eastAsia="Courier New" w:hAnsi="Courier New"/>
          <w:i w:val="false"/>
          <w:iCs w:val="false"/>
          <w:sz w:val="24"/>
          <w:szCs w:val="24"/>
        </w:rPr>
        <w:t xml:space="preserve">make_moons</w:t>
      </w:r>
      <w:r>
        <w:rPr>
          <w:rFonts w:ascii="Times New Roman" w:cs="Times New Roman" w:eastAsia="Times New Roman" w:hAnsi="Times New Roman"/>
          <w:i w:val="false"/>
          <w:iCs w:val="false"/>
          <w:sz w:val="24"/>
          <w:szCs w:val="24"/>
        </w:rPr>
        <w:t xml:space="preserve"> test split contains 75 samples, so the reported 100% test accuracy is more precisely stated as zero errors on 75 held-out samples, with a correspondingly wide confidence interval. Evaluation on larger and more varied datasets is required before the growth results can be generalized.</w:t>
      </w:r>
    </w:p>
    <w:p>
      <w:pPr>
        <w:spacing w:after="200" w:line="360"/>
        <w:jc w:val="both"/>
      </w:pPr>
      <w:r>
        <w:rPr>
          <w:rFonts w:ascii="Times New Roman" w:cs="Times New Roman" w:eastAsia="Times New Roman" w:hAnsi="Times New Roman"/>
          <w:sz w:val="24"/>
          <w:szCs w:val="24"/>
        </w:rPr>
        <w:t xml:space="preserve">Results are reported from a small number of random initializations. Because both the growth trajectory and the final architecture depend on initialization, the claim that incrementally grown networks outperform equivalently sized networks trained from scratch cannot be established from these runs. A controlled comparison — grown-to-N against randomly initialized-at-N across multiple seeds — is required to determine whether the observed advantage reflects the incremental construction process or initialization variance.</w:t>
      </w:r>
    </w:p>
    <w:p>
      <w:pPr>
        <w:spacing w:after="200" w:line="360"/>
        <w:jc w:val="both"/>
      </w:pPr>
      <w:r>
        <w:rPr>
          <w:rFonts w:ascii="Times New Roman" w:cs="Times New Roman" w:eastAsia="Times New Roman" w:hAnsi="Times New Roman"/>
          <w:sz w:val="24"/>
          <w:szCs w:val="24"/>
        </w:rPr>
        <w:t xml:space="preserve">Finally, both adaptive mechanisms use training loss as their acceptance criterion, which measures fit rather than generalization. Training loss decreases monotonically with capacity, so growth driven by this criterion has no principled stopping point and halts only when improvements become small. Substituting a cross-validated score as the acceptance criterion would align the search objective with generalization, at proportionally higher computational cost.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2026-07-23T15:58:48.873Z</dcterms:created>
  <dcterms:modified xsi:type="dcterms:W3CDTF">2026-07-23T15:58:48.884Z</dcterms:modified>
</cp:coreProperties>
</file>

<file path=docProps/custom.xml><?xml version="1.0" encoding="utf-8"?>
<Properties xmlns="http://schemas.openxmlformats.org/officeDocument/2006/custom-properties" xmlns:vt="http://schemas.openxmlformats.org/officeDocument/2006/docPropsVTypes"/>
</file>