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60" w:after="60"/>
        <w:jc w:val="left"/>
      </w:pPr>
      <w:r>
        <w:rPr>
          <w:rFonts w:ascii="Arial" w:hAnsi="Arial"/>
          <w:b w:val="0"/>
          <w:color w:val="000000"/>
          <w:sz w:val="52"/>
        </w:rPr>
        <w:t>Aureus ERP Technical Handover</w:t>
      </w:r>
    </w:p>
    <w:p>
      <w:pPr>
        <w:spacing w:after="480"/>
      </w:pPr>
      <w:r>
        <w:rPr>
          <w:rFonts w:ascii="Arial" w:hAnsi="Arial"/>
          <w:color w:val="434343"/>
          <w:sz w:val="30"/>
        </w:rPr>
        <w:t>Final implementation, architecture, operations, verification, and recovery baseline</w:t>
      </w:r>
    </w:p>
    <w:p>
      <w:pPr>
        <w:spacing w:after="60"/>
      </w:pPr>
      <w:r>
        <w:rPr>
          <w:rFonts w:ascii="Arial" w:hAnsi="Arial"/>
          <w:b/>
          <w:color w:val="000000"/>
          <w:sz w:val="22"/>
        </w:rPr>
        <w:t xml:space="preserve">Document version: </w:t>
      </w:r>
      <w:r>
        <w:rPr>
          <w:rFonts w:ascii="Arial" w:hAnsi="Arial"/>
          <w:color w:val="000000"/>
          <w:sz w:val="22"/>
        </w:rPr>
        <w:t>1.0</w:t>
      </w:r>
    </w:p>
    <w:p>
      <w:pPr>
        <w:spacing w:after="60"/>
      </w:pPr>
      <w:r>
        <w:rPr>
          <w:rFonts w:ascii="Arial" w:hAnsi="Arial"/>
          <w:b/>
          <w:color w:val="000000"/>
          <w:sz w:val="22"/>
        </w:rPr>
        <w:t xml:space="preserve">Date: </w:t>
      </w:r>
      <w:r>
        <w:rPr>
          <w:rFonts w:ascii="Arial" w:hAnsi="Arial"/>
          <w:color w:val="000000"/>
          <w:sz w:val="22"/>
        </w:rPr>
        <w:t>28 August 2026</w:t>
      </w:r>
    </w:p>
    <w:p>
      <w:pPr>
        <w:spacing w:after="60"/>
      </w:pPr>
      <w:r>
        <w:rPr>
          <w:rFonts w:ascii="Arial" w:hAnsi="Arial"/>
          <w:b/>
          <w:color w:val="000000"/>
          <w:sz w:val="22"/>
        </w:rPr>
        <w:t xml:space="preserve">Prepared for: </w:t>
      </w:r>
      <w:r>
        <w:rPr>
          <w:rFonts w:ascii="Arial" w:hAnsi="Arial"/>
          <w:color w:val="000000"/>
          <w:sz w:val="22"/>
        </w:rPr>
        <w:t>Engineering, DevOps, security, finance systems owners, and future maintainers</w:t>
      </w:r>
    </w:p>
    <w:p>
      <w:pPr>
        <w:spacing w:after="60"/>
      </w:pPr>
      <w:r>
        <w:rPr>
          <w:rFonts w:ascii="Arial" w:hAnsi="Arial"/>
          <w:b/>
          <w:color w:val="000000"/>
          <w:sz w:val="22"/>
        </w:rPr>
        <w:t xml:space="preserve">System baseline: </w:t>
      </w:r>
      <w:r>
        <w:rPr>
          <w:rFonts w:ascii="Arial" w:hAnsi="Arial"/>
          <w:color w:val="000000"/>
          <w:sz w:val="22"/>
        </w:rPr>
        <w:t>Aureus ERP — verified Accounting + HR integration with production Docker stack</w:t>
      </w:r>
    </w:p>
    <w:p>
      <w:pPr>
        <w:spacing w:before="840" w:after="0"/>
      </w:pPr>
      <w:r>
        <w:rPr>
          <w:rFonts w:ascii="Arial" w:hAnsi="Arial"/>
          <w:i/>
          <w:color w:val="555555"/>
          <w:sz w:val="19"/>
        </w:rPr>
        <w:t>This document contains no passwords, access tokens, private keys, customer files, or local machine paths.</w:t>
      </w:r>
    </w:p>
    <w:p>
      <w:r>
        <w:br w:type="page"/>
      </w:r>
    </w:p>
    <w:p>
      <w:bookmarkStart w:id="1" w:name="toc"/>
      <w:pPr>
        <w:pStyle w:val="Heading1"/>
      </w:pPr>
      <w:r>
        <w:t>Contents</w:t>
      </w:r>
      <w:bookmarkEnd w:id="1"/>
    </w:p>
    <w:p>
      <w:pPr>
        <w:spacing w:before="0" w:after="80"/>
        <w:ind w:left="0"/>
      </w:pPr>
      <w:hyperlink w:anchor="sec_executive_and_project_summary">
        <w:r>
          <w:rPr>
            <w:rFonts w:ascii="Arial" w:hAnsi="Arial"/>
            <w:color w:val="000000"/>
            <w:u w:val="single"/>
          </w:rPr>
          <w:t>Executive and project summary</w:t>
        </w:r>
      </w:hyperlink>
    </w:p>
    <w:p>
      <w:pPr>
        <w:spacing w:before="0" w:after="80"/>
        <w:ind w:left="0"/>
      </w:pPr>
      <w:hyperlink w:anchor="sec_scope_delivered_and_final_status">
        <w:r>
          <w:rPr>
            <w:rFonts w:ascii="Arial" w:hAnsi="Arial"/>
            <w:color w:val="000000"/>
            <w:u w:val="single"/>
          </w:rPr>
          <w:t>Scope delivered and final status</w:t>
        </w:r>
      </w:hyperlink>
    </w:p>
    <w:p>
      <w:pPr>
        <w:spacing w:before="0" w:after="80"/>
        <w:ind w:left="0"/>
      </w:pPr>
      <w:hyperlink w:anchor="sec_repository_branches_and_commits">
        <w:r>
          <w:rPr>
            <w:rFonts w:ascii="Arial" w:hAnsi="Arial"/>
            <w:color w:val="000000"/>
            <w:u w:val="single"/>
          </w:rPr>
          <w:t>Repository, branches, and commits</w:t>
        </w:r>
      </w:hyperlink>
    </w:p>
    <w:p>
      <w:pPr>
        <w:spacing w:before="0" w:after="80"/>
        <w:ind w:left="0"/>
      </w:pPr>
      <w:hyperlink w:anchor="sec_framework_and_dependency_stack">
        <w:r>
          <w:rPr>
            <w:rFonts w:ascii="Arial" w:hAnsi="Arial"/>
            <w:color w:val="000000"/>
            <w:u w:val="single"/>
          </w:rPr>
          <w:t>Framework and dependency stack</w:t>
        </w:r>
      </w:hyperlink>
    </w:p>
    <w:p>
      <w:pPr>
        <w:spacing w:before="0" w:after="80"/>
        <w:ind w:left="0"/>
      </w:pPr>
      <w:hyperlink w:anchor="sec_plugin_and_module_inventory">
        <w:r>
          <w:rPr>
            <w:rFonts w:ascii="Arial" w:hAnsi="Arial"/>
            <w:color w:val="000000"/>
            <w:u w:val="single"/>
          </w:rPr>
          <w:t>Plugin and module inventory</w:t>
        </w:r>
      </w:hyperlink>
    </w:p>
    <w:p>
      <w:pPr>
        <w:spacing w:before="0" w:after="80"/>
        <w:ind w:left="0"/>
      </w:pPr>
      <w:hyperlink w:anchor="sec_application_architecture">
        <w:r>
          <w:rPr>
            <w:rFonts w:ascii="Arial" w:hAnsi="Arial"/>
            <w:color w:val="000000"/>
            <w:u w:val="single"/>
          </w:rPr>
          <w:t>Application architecture</w:t>
        </w:r>
      </w:hyperlink>
    </w:p>
    <w:p>
      <w:pPr>
        <w:spacing w:before="0" w:after="80"/>
        <w:ind w:left="0"/>
      </w:pPr>
      <w:hyperlink w:anchor="sec_database_architecture_and_migratio">
        <w:r>
          <w:rPr>
            <w:rFonts w:ascii="Arial" w:hAnsi="Arial"/>
            <w:color w:val="000000"/>
            <w:u w:val="single"/>
          </w:rPr>
          <w:t>Database architecture and migrations</w:t>
        </w:r>
      </w:hyperlink>
    </w:p>
    <w:p>
      <w:pPr>
        <w:spacing w:before="0" w:after="80"/>
        <w:ind w:left="0"/>
      </w:pPr>
      <w:hyperlink w:anchor="sec_accounting_architecture">
        <w:r>
          <w:rPr>
            <w:rFonts w:ascii="Arial" w:hAnsi="Arial"/>
            <w:color w:val="000000"/>
            <w:u w:val="single"/>
          </w:rPr>
          <w:t>Accounting architecture</w:t>
        </w:r>
      </w:hyperlink>
    </w:p>
    <w:p>
      <w:pPr>
        <w:spacing w:before="0" w:after="80"/>
        <w:ind w:left="0"/>
      </w:pPr>
      <w:hyperlink w:anchor="sec_import_currency_and_reporting_arch">
        <w:r>
          <w:rPr>
            <w:rFonts w:ascii="Arial" w:hAnsi="Arial"/>
            <w:color w:val="000000"/>
            <w:u w:val="single"/>
          </w:rPr>
          <w:t>Import, currency, and reporting architecture</w:t>
        </w:r>
      </w:hyperlink>
    </w:p>
    <w:p>
      <w:pPr>
        <w:spacing w:before="0" w:after="80"/>
        <w:ind w:left="0"/>
      </w:pPr>
      <w:hyperlink w:anchor="sec_hr_architecture">
        <w:r>
          <w:rPr>
            <w:rFonts w:ascii="Arial" w:hAnsi="Arial"/>
            <w:color w:val="000000"/>
            <w:u w:val="single"/>
          </w:rPr>
          <w:t>HR architecture</w:t>
        </w:r>
      </w:hyperlink>
    </w:p>
    <w:p>
      <w:pPr>
        <w:spacing w:before="0" w:after="80"/>
        <w:ind w:left="0"/>
      </w:pPr>
      <w:hyperlink w:anchor="sec_approval_hierarchy_permissions_and">
        <w:r>
          <w:rPr>
            <w:rFonts w:ascii="Arial" w:hAnsi="Arial"/>
            <w:color w:val="000000"/>
            <w:u w:val="single"/>
          </w:rPr>
          <w:t>Approval, hierarchy, permissions, and audit</w:t>
        </w:r>
      </w:hyperlink>
    </w:p>
    <w:p>
      <w:pPr>
        <w:spacing w:before="0" w:after="80"/>
        <w:ind w:left="0"/>
      </w:pPr>
      <w:hyperlink w:anchor="sec_integration_points">
        <w:r>
          <w:rPr>
            <w:rFonts w:ascii="Arial" w:hAnsi="Arial"/>
            <w:color w:val="000000"/>
            <w:u w:val="single"/>
          </w:rPr>
          <w:t>Integration points</w:t>
        </w:r>
      </w:hyperlink>
    </w:p>
    <w:p>
      <w:pPr>
        <w:spacing w:before="0" w:after="80"/>
        <w:ind w:left="0"/>
      </w:pPr>
      <w:hyperlink w:anchor="sec_environment_and_configuration">
        <w:r>
          <w:rPr>
            <w:rFonts w:ascii="Arial" w:hAnsi="Arial"/>
            <w:color w:val="000000"/>
            <w:u w:val="single"/>
          </w:rPr>
          <w:t>Environment and configuration</w:t>
        </w:r>
      </w:hyperlink>
    </w:p>
    <w:p>
      <w:pPr>
        <w:spacing w:before="0" w:after="80"/>
        <w:ind w:left="0"/>
      </w:pPr>
      <w:hyperlink w:anchor="sec_docker_deployment_architecture">
        <w:r>
          <w:rPr>
            <w:rFonts w:ascii="Arial" w:hAnsi="Arial"/>
            <w:color w:val="000000"/>
            <w:u w:val="single"/>
          </w:rPr>
          <w:t>Docker deployment architecture</w:t>
        </w:r>
      </w:hyperlink>
    </w:p>
    <w:p>
      <w:pPr>
        <w:spacing w:before="0" w:after="80"/>
        <w:ind w:left="0"/>
      </w:pPr>
      <w:hyperlink w:anchor="sec_docker_operating_commands">
        <w:r>
          <w:rPr>
            <w:rFonts w:ascii="Arial" w:hAnsi="Arial"/>
            <w:color w:val="000000"/>
            <w:u w:val="single"/>
          </w:rPr>
          <w:t>Docker operating commands</w:t>
        </w:r>
      </w:hyperlink>
    </w:p>
    <w:p>
      <w:pPr>
        <w:spacing w:before="0" w:after="80"/>
        <w:ind w:left="0"/>
      </w:pPr>
      <w:hyperlink w:anchor="sec_aws_network_https_and_persistence_">
        <w:r>
          <w:rPr>
            <w:rFonts w:ascii="Arial" w:hAnsi="Arial"/>
            <w:color w:val="000000"/>
            <w:u w:val="single"/>
          </w:rPr>
          <w:t>AWS, network, HTTPS, and persistence requirements</w:t>
        </w:r>
      </w:hyperlink>
    </w:p>
    <w:p>
      <w:pPr>
        <w:spacing w:before="0" w:after="80"/>
        <w:ind w:left="0"/>
      </w:pPr>
      <w:hyperlink w:anchor="sec_backup_restore_and_operational_mai">
        <w:r>
          <w:rPr>
            <w:rFonts w:ascii="Arial" w:hAnsi="Arial"/>
            <w:color w:val="000000"/>
            <w:u w:val="single"/>
          </w:rPr>
          <w:t>Backup, restore, and operational maintenance</w:t>
        </w:r>
      </w:hyperlink>
    </w:p>
    <w:p>
      <w:pPr>
        <w:spacing w:before="0" w:after="80"/>
        <w:ind w:left="0"/>
      </w:pPr>
      <w:hyperlink w:anchor="sec_development_workflow_with_graphify">
        <w:r>
          <w:rPr>
            <w:rFonts w:ascii="Arial" w:hAnsi="Arial"/>
            <w:color w:val="000000"/>
            <w:u w:val="single"/>
          </w:rPr>
          <w:t>Development workflow with Graphify and Boost</w:t>
        </w:r>
      </w:hyperlink>
    </w:p>
    <w:p>
      <w:pPr>
        <w:spacing w:before="0" w:after="80"/>
        <w:ind w:left="0"/>
      </w:pPr>
      <w:hyperlink w:anchor="sec_making_future_changes_safely">
        <w:r>
          <w:rPr>
            <w:rFonts w:ascii="Arial" w:hAnsi="Arial"/>
            <w:color w:val="000000"/>
            <w:u w:val="single"/>
          </w:rPr>
          <w:t>Making future changes safely</w:t>
        </w:r>
      </w:hyperlink>
    </w:p>
    <w:p>
      <w:pPr>
        <w:spacing w:before="0" w:after="80"/>
        <w:ind w:left="0"/>
      </w:pPr>
      <w:hyperlink w:anchor="sec_tests_and_verification">
        <w:r>
          <w:rPr>
            <w:rFonts w:ascii="Arial" w:hAnsi="Arial"/>
            <w:color w:val="000000"/>
            <w:u w:val="single"/>
          </w:rPr>
          <w:t>Tests and verification</w:t>
        </w:r>
      </w:hyperlink>
    </w:p>
    <w:p>
      <w:pPr>
        <w:spacing w:before="0" w:after="80"/>
        <w:ind w:left="0"/>
      </w:pPr>
      <w:hyperlink w:anchor="sec_accounting_workbook_acceptance">
        <w:r>
          <w:rPr>
            <w:rFonts w:ascii="Arial" w:hAnsi="Arial"/>
            <w:color w:val="000000"/>
            <w:u w:val="single"/>
          </w:rPr>
          <w:t>Accounting workbook acceptance</w:t>
        </w:r>
      </w:hyperlink>
    </w:p>
    <w:p>
      <w:pPr>
        <w:spacing w:before="0" w:after="80"/>
        <w:ind w:left="0"/>
      </w:pPr>
      <w:hyperlink w:anchor="sec_known_limitations_and_external_blo">
        <w:r>
          <w:rPr>
            <w:rFonts w:ascii="Arial" w:hAnsi="Arial"/>
            <w:color w:val="000000"/>
            <w:u w:val="single"/>
          </w:rPr>
          <w:t>Known limitations and external blockers</w:t>
        </w:r>
      </w:hyperlink>
    </w:p>
    <w:p>
      <w:pPr>
        <w:spacing w:before="0" w:after="80"/>
        <w:ind w:left="0"/>
      </w:pPr>
      <w:hyperlink w:anchor="sec_recommended_future_development">
        <w:r>
          <w:rPr>
            <w:rFonts w:ascii="Arial" w:hAnsi="Arial"/>
            <w:color w:val="000000"/>
            <w:u w:val="single"/>
          </w:rPr>
          <w:t>Recommended future development</w:t>
        </w:r>
      </w:hyperlink>
    </w:p>
    <w:p>
      <w:pPr>
        <w:spacing w:before="0" w:after="80"/>
        <w:ind w:left="0"/>
      </w:pPr>
      <w:hyperlink w:anchor="sec_recovery_and_troubleshooting">
        <w:r>
          <w:rPr>
            <w:rFonts w:ascii="Arial" w:hAnsi="Arial"/>
            <w:color w:val="000000"/>
            <w:u w:val="single"/>
          </w:rPr>
          <w:t>Recovery and troubleshooting</w:t>
        </w:r>
      </w:hyperlink>
    </w:p>
    <w:p>
      <w:pPr>
        <w:spacing w:before="0" w:after="80"/>
        <w:ind w:left="0"/>
      </w:pPr>
      <w:hyperlink w:anchor="sec_handover_checklist">
        <w:r>
          <w:rPr>
            <w:rFonts w:ascii="Arial" w:hAnsi="Arial"/>
            <w:color w:val="000000"/>
            <w:u w:val="single"/>
          </w:rPr>
          <w:t>Handover checklist</w:t>
        </w:r>
      </w:hyperlink>
    </w:p>
    <w:p>
      <w:r>
        <w:br w:type="page"/>
      </w:r>
    </w:p>
    <w:p>
      <w:bookmarkStart w:id="100" w:name="sec_executive_and_project_summary"/>
      <w:pPr>
        <w:pStyle w:val="Heading1"/>
      </w:pPr>
      <w:r>
        <w:t>Executive and project summary</w:t>
      </w:r>
      <w:bookmarkEnd w:id="100"/>
    </w:p>
    <w:p>
      <w:r>
        <w:rPr>
          <w:rFonts w:ascii="Arial" w:hAnsi="Arial"/>
          <w:color w:val="000000"/>
          <w:sz w:val="22"/>
        </w:rPr>
        <w:t>This handover records the final integrated Aureus ERP baseline delivered on the HR branch: the verified Accounting checkpoint, integrated HR workflows, fresh-deployment/plugin-state behavior, and a local production Docker commit. Existing ERP modules were extended rather than duplicated. Accounting remains journal/ledger-led, company-scoped, auditable, and currency-aware.</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088"/>
        <w:gridCol w:w="7272"/>
      </w:tblGrid>
      <w:tr>
        <w:trPr>
          <w:tblHeader w:val="true"/>
        </w:trPr>
        <w:tc>
          <w:tcPr>
            <w:tcW w:type="dxa" w:w="2088"/>
            <w:tcMar>
              <w:top w:w="80" w:type="dxa"/>
              <w:start w:w="120" w:type="dxa"/>
              <w:bottom w:w="80" w:type="dxa"/>
              <w:end w:w="120" w:type="dxa"/>
            </w:tcMar>
            <w:vAlign w:val="center"/>
          </w:tcPr>
          <w:p>
            <w:pPr>
              <w:keepLines/>
              <w:spacing w:before="0" w:after="40" w:line="240" w:lineRule="auto"/>
            </w:pPr>
            <w:r>
              <w:rPr>
                <w:rFonts w:ascii="Arial" w:hAnsi="Arial"/>
                <w:b/>
                <w:color w:val="000000"/>
                <w:sz w:val="18"/>
              </w:rPr>
              <w:t>Outcome</w:t>
            </w:r>
          </w:p>
        </w:tc>
        <w:tc>
          <w:tcPr>
            <w:tcW w:type="dxa" w:w="7272"/>
            <w:tcMar>
              <w:top w:w="80" w:type="dxa"/>
              <w:start w:w="120" w:type="dxa"/>
              <w:bottom w:w="80" w:type="dxa"/>
              <w:end w:w="120" w:type="dxa"/>
            </w:tcMar>
            <w:vAlign w:val="center"/>
          </w:tcPr>
          <w:p>
            <w:pPr>
              <w:keepLines/>
              <w:spacing w:before="0" w:after="40" w:line="240" w:lineRule="auto"/>
            </w:pPr>
            <w:r>
              <w:rPr>
                <w:rFonts w:ascii="Arial" w:hAnsi="Arial"/>
                <w:b/>
                <w:color w:val="000000"/>
                <w:sz w:val="18"/>
              </w:rPr>
              <w:t>Evidence</w:t>
            </w:r>
          </w:p>
        </w:tc>
      </w:tr>
      <w:tr>
        <w:tc>
          <w:tcPr>
            <w:tcW w:type="dxa" w:w="2088"/>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Accounting checkpoint</w:t>
            </w:r>
          </w:p>
        </w:tc>
        <w:tc>
          <w:tcPr>
            <w:tcW w:type="dxa" w:w="7272"/>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Remote accounting-stage2 at 4c8f72ef779fcc8504027b83906f999ae413da01</w:t>
            </w:r>
          </w:p>
        </w:tc>
      </w:tr>
      <w:tr>
        <w:tc>
          <w:tcPr>
            <w:tcW w:type="dxa" w:w="2088"/>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HR checkpoint</w:t>
            </w:r>
          </w:p>
        </w:tc>
        <w:tc>
          <w:tcPr>
            <w:tcW w:type="dxa" w:w="7272"/>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Remote HR at 47c63fe7c14689a1f16e6371a2efe222a56c8955</w:t>
            </w:r>
          </w:p>
        </w:tc>
      </w:tr>
      <w:tr>
        <w:tc>
          <w:tcPr>
            <w:tcW w:type="dxa" w:w="2088"/>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Docker baseline</w:t>
            </w:r>
          </w:p>
        </w:tc>
        <w:tc>
          <w:tcPr>
            <w:tcW w:type="dxa" w:w="7272"/>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Local HR commit 26a2ff62ae7c7faebe6a27cabdd466d03e198724; not pushed at document date</w:t>
            </w:r>
          </w:p>
        </w:tc>
      </w:tr>
      <w:tr>
        <w:tc>
          <w:tcPr>
            <w:tcW w:type="dxa" w:w="2088"/>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Accounting integrity</w:t>
            </w:r>
          </w:p>
        </w:tc>
        <w:tc>
          <w:tcPr>
            <w:tcW w:type="dxa" w:w="7272"/>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Posted Dr 3,010,000 = Cr 3,010,000; difference 0; no unbalanced posted moves</w:t>
            </w:r>
          </w:p>
        </w:tc>
      </w:tr>
      <w:tr>
        <w:tc>
          <w:tcPr>
            <w:tcW w:type="dxa" w:w="2088"/>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Application health</w:t>
            </w:r>
          </w:p>
        </w:tc>
        <w:tc>
          <w:tcPr>
            <w:tcW w:type="dxa" w:w="7272"/>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All migrations applied; ERP Doctor passed with 1,818 administrator permissions</w:t>
            </w:r>
          </w:p>
        </w:tc>
      </w:tr>
    </w:tbl>
    <w:p>
      <w:pPr>
        <w:spacing w:after="0"/>
      </w:pPr>
    </w:p>
    <w:p>
      <w:bookmarkStart w:id="101" w:name="sec_scope_delivered_and_final_status"/>
      <w:pPr>
        <w:pStyle w:val="Heading1"/>
        <w:pageBreakBefore/>
      </w:pPr>
      <w:r>
        <w:t>Scope delivered and final status</w:t>
      </w:r>
      <w:bookmarkEnd w:id="101"/>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800"/>
        <w:gridCol w:w="1800"/>
        <w:gridCol w:w="5760"/>
      </w:tblGrid>
      <w:tr>
        <w:trPr>
          <w:tblHeader w:val="true"/>
        </w:trPr>
        <w:tc>
          <w:tcPr>
            <w:tcW w:type="dxa" w:w="1800"/>
            <w:tcMar>
              <w:top w:w="80" w:type="dxa"/>
              <w:start w:w="120" w:type="dxa"/>
              <w:bottom w:w="80" w:type="dxa"/>
              <w:end w:w="120" w:type="dxa"/>
            </w:tcMar>
            <w:vAlign w:val="center"/>
          </w:tcPr>
          <w:p>
            <w:pPr>
              <w:keepLines/>
              <w:spacing w:before="0" w:after="40" w:line="240" w:lineRule="auto"/>
            </w:pPr>
            <w:r>
              <w:rPr>
                <w:rFonts w:ascii="Arial" w:hAnsi="Arial"/>
                <w:b/>
                <w:color w:val="000000"/>
                <w:sz w:val="18"/>
              </w:rPr>
              <w:t>Workstream</w:t>
            </w:r>
          </w:p>
        </w:tc>
        <w:tc>
          <w:tcPr>
            <w:tcW w:type="dxa" w:w="1800"/>
            <w:tcMar>
              <w:top w:w="80" w:type="dxa"/>
              <w:start w:w="120" w:type="dxa"/>
              <w:bottom w:w="80" w:type="dxa"/>
              <w:end w:w="120" w:type="dxa"/>
            </w:tcMar>
            <w:vAlign w:val="center"/>
          </w:tcPr>
          <w:p>
            <w:pPr>
              <w:keepLines/>
              <w:spacing w:before="0" w:after="40" w:line="240" w:lineRule="auto"/>
            </w:pPr>
            <w:r>
              <w:rPr>
                <w:rFonts w:ascii="Arial" w:hAnsi="Arial"/>
                <w:b/>
                <w:color w:val="000000"/>
                <w:sz w:val="18"/>
              </w:rPr>
              <w:t>Status</w:t>
            </w:r>
          </w:p>
        </w:tc>
        <w:tc>
          <w:tcPr>
            <w:tcW w:type="dxa" w:w="5760"/>
            <w:tcMar>
              <w:top w:w="80" w:type="dxa"/>
              <w:start w:w="120" w:type="dxa"/>
              <w:bottom w:w="80" w:type="dxa"/>
              <w:end w:w="120" w:type="dxa"/>
            </w:tcMar>
            <w:vAlign w:val="center"/>
          </w:tcPr>
          <w:p>
            <w:pPr>
              <w:keepLines/>
              <w:spacing w:before="0" w:after="40" w:line="240" w:lineRule="auto"/>
            </w:pPr>
            <w:r>
              <w:rPr>
                <w:rFonts w:ascii="Arial" w:hAnsi="Arial"/>
                <w:b/>
                <w:color w:val="000000"/>
                <w:sz w:val="18"/>
              </w:rPr>
              <w:t>Summary</w:t>
            </w:r>
          </w:p>
        </w:tc>
      </w:tr>
      <w:tr>
        <w:tc>
          <w:tcPr>
            <w:tcW w:type="dxa" w:w="180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Accounting</w:t>
            </w:r>
          </w:p>
        </w:tc>
        <w:tc>
          <w:tcPr>
            <w:tcW w:type="dxa" w:w="180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Complete</w:t>
            </w:r>
          </w:p>
        </w:tc>
        <w:tc>
          <w:tcPr>
            <w:tcW w:type="dxa" w:w="576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Configurable imports, duplicate controls, bank mapping/reconciliation, multi-currency, approvals, partner analytics, reconciled reports</w:t>
            </w:r>
          </w:p>
        </w:tc>
      </w:tr>
      <w:tr>
        <w:tc>
          <w:tcPr>
            <w:tcW w:type="dxa" w:w="180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HR</w:t>
            </w:r>
          </w:p>
        </w:tc>
        <w:tc>
          <w:tcPr>
            <w:tcW w:type="dxa" w:w="180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Complete within existing architecture</w:t>
            </w:r>
          </w:p>
        </w:tc>
        <w:tc>
          <w:tcPr>
            <w:tcW w:type="dxa" w:w="576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Master/hierarchy, attendance, performance, requests, timesheet/leave approvals, recruitment source and conversion, analytics</w:t>
            </w:r>
          </w:p>
        </w:tc>
      </w:tr>
      <w:tr>
        <w:tc>
          <w:tcPr>
            <w:tcW w:type="dxa" w:w="180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Shared controls</w:t>
            </w:r>
          </w:p>
        </w:tc>
        <w:tc>
          <w:tcPr>
            <w:tcW w:type="dxa" w:w="180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Complete</w:t>
            </w:r>
          </w:p>
        </w:tc>
        <w:tc>
          <w:tcPr>
            <w:tcW w:type="dxa" w:w="576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Approval workflow/steps/decisions, permissions, company scoping, source/audit metadata</w:t>
            </w:r>
          </w:p>
        </w:tc>
      </w:tr>
      <w:tr>
        <w:tc>
          <w:tcPr>
            <w:tcW w:type="dxa" w:w="180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Fresh deployment</w:t>
            </w:r>
          </w:p>
        </w:tc>
        <w:tc>
          <w:tcPr>
            <w:tcW w:type="dxa" w:w="180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Complete</w:t>
            </w:r>
          </w:p>
        </w:tc>
        <w:tc>
          <w:tcPr>
            <w:tcW w:type="dxa" w:w="576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Discoverable migrations, required plugin states, all permissions, reference-only seeding, conditional HTTPS</w:t>
            </w:r>
          </w:p>
        </w:tc>
      </w:tr>
      <w:tr>
        <w:tc>
          <w:tcPr>
            <w:tcW w:type="dxa" w:w="180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Docker</w:t>
            </w:r>
          </w:p>
        </w:tc>
        <w:tc>
          <w:tcPr>
            <w:tcW w:type="dxa" w:w="180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Code/config complete; runtime blocked</w:t>
            </w:r>
          </w:p>
        </w:tc>
        <w:tc>
          <w:tcPr>
            <w:tcW w:type="dxa" w:w="576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Separate app/web/worker/scheduler/MySQL services, persistence, health checks, explicit operations</w:t>
            </w:r>
          </w:p>
        </w:tc>
      </w:tr>
      <w:tr>
        <w:tc>
          <w:tcPr>
            <w:tcW w:type="dxa" w:w="180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Documentation</w:t>
            </w:r>
          </w:p>
        </w:tc>
        <w:tc>
          <w:tcPr>
            <w:tcW w:type="dxa" w:w="180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Complete</w:t>
            </w:r>
          </w:p>
        </w:tc>
        <w:tc>
          <w:tcPr>
            <w:tcW w:type="dxa" w:w="576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This technical handover plus the Guide &amp; Functionality Manual</w:t>
            </w:r>
          </w:p>
        </w:tc>
      </w:tr>
    </w:tbl>
    <w:p>
      <w:pPr>
        <w:spacing w:after="0"/>
      </w:pPr>
    </w:p>
    <w:p>
      <w:r>
        <w:rPr>
          <w:rFonts w:ascii="Arial" w:hAnsi="Arial"/>
          <w:color w:val="000000"/>
          <w:sz w:val="22"/>
        </w:rPr>
        <w:t>No Accounting business logic was altered during Dockerization. No local business data, company records, journals, transactions, imports, customer files, or test fixtures are part of the fresh production seed path.</w:t>
      </w:r>
    </w:p>
    <w:p>
      <w:bookmarkStart w:id="102" w:name="sec_repository_branches_and_commits"/>
      <w:pPr>
        <w:pStyle w:val="Heading1"/>
        <w:pageBreakBefore/>
      </w:pPr>
      <w:r>
        <w:t>Repository, branches, and commits</w:t>
      </w:r>
      <w:bookmarkEnd w:id="102"/>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088"/>
        <w:gridCol w:w="7272"/>
      </w:tblGrid>
      <w:tr>
        <w:trPr>
          <w:tblHeader w:val="true"/>
        </w:trPr>
        <w:tc>
          <w:tcPr>
            <w:tcW w:type="dxa" w:w="2088"/>
            <w:tcMar>
              <w:top w:w="80" w:type="dxa"/>
              <w:start w:w="120" w:type="dxa"/>
              <w:bottom w:w="80" w:type="dxa"/>
              <w:end w:w="120" w:type="dxa"/>
            </w:tcMar>
            <w:vAlign w:val="center"/>
          </w:tcPr>
          <w:p>
            <w:pPr>
              <w:keepLines/>
              <w:spacing w:before="0" w:after="40" w:line="240" w:lineRule="auto"/>
            </w:pPr>
            <w:r>
              <w:rPr>
                <w:rFonts w:ascii="Arial" w:hAnsi="Arial"/>
                <w:b/>
                <w:color w:val="000000"/>
                <w:sz w:val="18"/>
              </w:rPr>
              <w:t>Item</w:t>
            </w:r>
          </w:p>
        </w:tc>
        <w:tc>
          <w:tcPr>
            <w:tcW w:type="dxa" w:w="7272"/>
            <w:tcMar>
              <w:top w:w="80" w:type="dxa"/>
              <w:start w:w="120" w:type="dxa"/>
              <w:bottom w:w="80" w:type="dxa"/>
              <w:end w:w="120" w:type="dxa"/>
            </w:tcMar>
            <w:vAlign w:val="center"/>
          </w:tcPr>
          <w:p>
            <w:pPr>
              <w:keepLines/>
              <w:spacing w:before="0" w:after="40" w:line="240" w:lineRule="auto"/>
            </w:pPr>
            <w:r>
              <w:rPr>
                <w:rFonts w:ascii="Arial" w:hAnsi="Arial"/>
                <w:b/>
                <w:color w:val="000000"/>
                <w:sz w:val="18"/>
              </w:rPr>
              <w:t>Value</w:t>
            </w:r>
          </w:p>
        </w:tc>
      </w:tr>
      <w:tr>
        <w:tc>
          <w:tcPr>
            <w:tcW w:type="dxa" w:w="2088"/>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Repository remote</w:t>
            </w:r>
          </w:p>
        </w:tc>
        <w:tc>
          <w:tcPr>
            <w:tcW w:type="dxa" w:w="7272"/>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github.com/abdullah-brar9/Aureus-ERP-Integration.git</w:t>
            </w:r>
          </w:p>
        </w:tc>
      </w:tr>
      <w:tr>
        <w:tc>
          <w:tcPr>
            <w:tcW w:type="dxa" w:w="2088"/>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Accounting branch</w:t>
            </w:r>
          </w:p>
        </w:tc>
        <w:tc>
          <w:tcPr>
            <w:tcW w:type="dxa" w:w="7272"/>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accounting-stage2</w:t>
            </w:r>
          </w:p>
        </w:tc>
      </w:tr>
      <w:tr>
        <w:tc>
          <w:tcPr>
            <w:tcW w:type="dxa" w:w="2088"/>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Accounting commit</w:t>
            </w:r>
          </w:p>
        </w:tc>
        <w:tc>
          <w:tcPr>
            <w:tcW w:type="dxa" w:w="7272"/>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4c8f72ef779fcc8504027b83906f999ae413da01 — Complete accounting imports reconciliation and approvals</w:t>
            </w:r>
          </w:p>
        </w:tc>
      </w:tr>
      <w:tr>
        <w:tc>
          <w:tcPr>
            <w:tcW w:type="dxa" w:w="2088"/>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Integrated branch</w:t>
            </w:r>
          </w:p>
        </w:tc>
        <w:tc>
          <w:tcPr>
            <w:tcW w:type="dxa" w:w="7272"/>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HR</w:t>
            </w:r>
          </w:p>
        </w:tc>
      </w:tr>
      <w:tr>
        <w:tc>
          <w:tcPr>
            <w:tcW w:type="dxa" w:w="2088"/>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HR commit</w:t>
            </w:r>
          </w:p>
        </w:tc>
        <w:tc>
          <w:tcPr>
            <w:tcW w:type="dxa" w:w="7272"/>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47c63fe7c14689a1f16e6371a2efe222a56c8955 — Complete integrated HR workflows and analytics</w:t>
            </w:r>
          </w:p>
        </w:tc>
      </w:tr>
      <w:tr>
        <w:tc>
          <w:tcPr>
            <w:tcW w:type="dxa" w:w="2088"/>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Docker commit</w:t>
            </w:r>
          </w:p>
        </w:tc>
        <w:tc>
          <w:tcPr>
            <w:tcW w:type="dxa" w:w="7272"/>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26a2ff62ae7c7faebe6a27cabdd466d03e198724 — Add production Docker deployment stack (local only at document date)</w:t>
            </w:r>
          </w:p>
        </w:tc>
      </w:tr>
    </w:tbl>
    <w:p>
      <w:pPr>
        <w:spacing w:after="0"/>
      </w:pPr>
    </w:p>
    <w:p>
      <w:r>
        <w:rPr>
          <w:rFonts w:ascii="Arial" w:hAnsi="Arial"/>
          <w:color w:val="000000"/>
          <w:sz w:val="22"/>
        </w:rPr>
        <w:t>Remote tips were verified read-only: accounting-stage2 points to 4c8f72e and HR points to 47c63fe. The local remote-tracking reference for origin/HR was stale, so git ls-remote was treated as authoritative. Never force-push. Confirm remote state again before publishing local Docker/document commits.</w:t>
      </w:r>
    </w:p>
    <w:p>
      <w:bookmarkStart w:id="103" w:name="sec_framework_and_dependency_stack"/>
      <w:pPr>
        <w:pStyle w:val="Heading1"/>
        <w:pageBreakBefore/>
      </w:pPr>
      <w:r>
        <w:t>Framework and dependency stack</w:t>
      </w:r>
      <w:bookmarkEnd w:id="103"/>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944"/>
        <w:gridCol w:w="3960"/>
        <w:gridCol w:w="3456"/>
      </w:tblGrid>
      <w:tr>
        <w:trPr>
          <w:tblHeader w:val="true"/>
        </w:trPr>
        <w:tc>
          <w:tcPr>
            <w:tcW w:type="dxa" w:w="1944"/>
            <w:tcMar>
              <w:top w:w="80" w:type="dxa"/>
              <w:start w:w="120" w:type="dxa"/>
              <w:bottom w:w="80" w:type="dxa"/>
              <w:end w:w="120" w:type="dxa"/>
            </w:tcMar>
            <w:vAlign w:val="center"/>
          </w:tcPr>
          <w:p>
            <w:pPr>
              <w:keepLines/>
              <w:spacing w:before="0" w:after="40" w:line="240" w:lineRule="auto"/>
            </w:pPr>
            <w:r>
              <w:rPr>
                <w:rFonts w:ascii="Arial" w:hAnsi="Arial"/>
                <w:b/>
                <w:color w:val="000000"/>
                <w:sz w:val="18"/>
              </w:rPr>
              <w:t>Component</w:t>
            </w:r>
          </w:p>
        </w:tc>
        <w:tc>
          <w:tcPr>
            <w:tcW w:type="dxa" w:w="3960"/>
            <w:tcMar>
              <w:top w:w="80" w:type="dxa"/>
              <w:start w:w="120" w:type="dxa"/>
              <w:bottom w:w="80" w:type="dxa"/>
              <w:end w:w="120" w:type="dxa"/>
            </w:tcMar>
            <w:vAlign w:val="center"/>
          </w:tcPr>
          <w:p>
            <w:pPr>
              <w:keepLines/>
              <w:spacing w:before="0" w:after="40" w:line="240" w:lineRule="auto"/>
            </w:pPr>
            <w:r>
              <w:rPr>
                <w:rFonts w:ascii="Arial" w:hAnsi="Arial"/>
                <w:b/>
                <w:color w:val="000000"/>
                <w:sz w:val="18"/>
              </w:rPr>
              <w:t>Verified local / locked version</w:t>
            </w:r>
          </w:p>
        </w:tc>
        <w:tc>
          <w:tcPr>
            <w:tcW w:type="dxa" w:w="3456"/>
            <w:tcMar>
              <w:top w:w="80" w:type="dxa"/>
              <w:start w:w="120" w:type="dxa"/>
              <w:bottom w:w="80" w:type="dxa"/>
              <w:end w:w="120" w:type="dxa"/>
            </w:tcMar>
            <w:vAlign w:val="center"/>
          </w:tcPr>
          <w:p>
            <w:pPr>
              <w:keepLines/>
              <w:spacing w:before="0" w:after="40" w:line="240" w:lineRule="auto"/>
            </w:pPr>
            <w:r>
              <w:rPr>
                <w:rFonts w:ascii="Arial" w:hAnsi="Arial"/>
                <w:b/>
                <w:color w:val="000000"/>
                <w:sz w:val="18"/>
              </w:rPr>
              <w:t>Container target</w:t>
            </w:r>
          </w:p>
        </w:tc>
      </w:tr>
      <w:tr>
        <w:tc>
          <w:tcPr>
            <w:tcW w:type="dxa" w:w="194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PHP</w:t>
            </w:r>
          </w:p>
        </w:tc>
        <w:tc>
          <w:tcPr>
            <w:tcW w:type="dxa" w:w="396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8.3.30</w:t>
            </w:r>
          </w:p>
        </w:tc>
        <w:tc>
          <w:tcPr>
            <w:tcW w:type="dxa" w:w="345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8.3</w:t>
            </w:r>
          </w:p>
        </w:tc>
      </w:tr>
      <w:tr>
        <w:tc>
          <w:tcPr>
            <w:tcW w:type="dxa" w:w="194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Laravel</w:t>
            </w:r>
          </w:p>
        </w:tc>
        <w:tc>
          <w:tcPr>
            <w:tcW w:type="dxa" w:w="396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13.8.0</w:t>
            </w:r>
          </w:p>
        </w:tc>
        <w:tc>
          <w:tcPr>
            <w:tcW w:type="dxa" w:w="345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Composer lock</w:t>
            </w:r>
          </w:p>
        </w:tc>
      </w:tr>
      <w:tr>
        <w:tc>
          <w:tcPr>
            <w:tcW w:type="dxa" w:w="194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Filament</w:t>
            </w:r>
          </w:p>
        </w:tc>
        <w:tc>
          <w:tcPr>
            <w:tcW w:type="dxa" w:w="396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5.6.3</w:t>
            </w:r>
          </w:p>
        </w:tc>
        <w:tc>
          <w:tcPr>
            <w:tcW w:type="dxa" w:w="345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Composer lock</w:t>
            </w:r>
          </w:p>
        </w:tc>
      </w:tr>
      <w:tr>
        <w:tc>
          <w:tcPr>
            <w:tcW w:type="dxa" w:w="194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Livewire</w:t>
            </w:r>
          </w:p>
        </w:tc>
        <w:tc>
          <w:tcPr>
            <w:tcW w:type="dxa" w:w="396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4.3.0</w:t>
            </w:r>
          </w:p>
        </w:tc>
        <w:tc>
          <w:tcPr>
            <w:tcW w:type="dxa" w:w="345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Composer lock</w:t>
            </w:r>
          </w:p>
        </w:tc>
      </w:tr>
      <w:tr>
        <w:tc>
          <w:tcPr>
            <w:tcW w:type="dxa" w:w="194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Pest</w:t>
            </w:r>
          </w:p>
        </w:tc>
        <w:tc>
          <w:tcPr>
            <w:tcW w:type="dxa" w:w="396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4.7.0</w:t>
            </w:r>
          </w:p>
        </w:tc>
        <w:tc>
          <w:tcPr>
            <w:tcW w:type="dxa" w:w="345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Development/test</w:t>
            </w:r>
          </w:p>
        </w:tc>
      </w:tr>
      <w:tr>
        <w:tc>
          <w:tcPr>
            <w:tcW w:type="dxa" w:w="194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Composer</w:t>
            </w:r>
          </w:p>
        </w:tc>
        <w:tc>
          <w:tcPr>
            <w:tcW w:type="dxa" w:w="396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2.9.4</w:t>
            </w:r>
          </w:p>
        </w:tc>
        <w:tc>
          <w:tcPr>
            <w:tcW w:type="dxa" w:w="345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Composer 2 image</w:t>
            </w:r>
          </w:p>
        </w:tc>
      </w:tr>
      <w:tr>
        <w:tc>
          <w:tcPr>
            <w:tcW w:type="dxa" w:w="194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Node.js</w:t>
            </w:r>
          </w:p>
        </w:tc>
        <w:tc>
          <w:tcPr>
            <w:tcW w:type="dxa" w:w="396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22.22.0</w:t>
            </w:r>
          </w:p>
        </w:tc>
        <w:tc>
          <w:tcPr>
            <w:tcW w:type="dxa" w:w="345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22</w:t>
            </w:r>
          </w:p>
        </w:tc>
      </w:tr>
      <w:tr>
        <w:tc>
          <w:tcPr>
            <w:tcW w:type="dxa" w:w="194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npm</w:t>
            </w:r>
          </w:p>
        </w:tc>
        <w:tc>
          <w:tcPr>
            <w:tcW w:type="dxa" w:w="396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10.9.4</w:t>
            </w:r>
          </w:p>
        </w:tc>
        <w:tc>
          <w:tcPr>
            <w:tcW w:type="dxa" w:w="345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Node build stage</w:t>
            </w:r>
          </w:p>
        </w:tc>
      </w:tr>
      <w:tr>
        <w:tc>
          <w:tcPr>
            <w:tcW w:type="dxa" w:w="194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MySQL</w:t>
            </w:r>
          </w:p>
        </w:tc>
        <w:tc>
          <w:tcPr>
            <w:tcW w:type="dxa" w:w="396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8.4.3 local</w:t>
            </w:r>
          </w:p>
        </w:tc>
        <w:tc>
          <w:tcPr>
            <w:tcW w:type="dxa" w:w="345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mysql:8.4</w:t>
            </w:r>
          </w:p>
        </w:tc>
      </w:tr>
      <w:tr>
        <w:tc>
          <w:tcPr>
            <w:tcW w:type="dxa" w:w="194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Nginx</w:t>
            </w:r>
          </w:p>
        </w:tc>
        <w:tc>
          <w:tcPr>
            <w:tcW w:type="dxa" w:w="396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Docker target</w:t>
            </w:r>
          </w:p>
        </w:tc>
        <w:tc>
          <w:tcPr>
            <w:tcW w:type="dxa" w:w="345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nginx:1.28-alpine</w:t>
            </w:r>
          </w:p>
        </w:tc>
      </w:tr>
      <w:tr>
        <w:tc>
          <w:tcPr>
            <w:tcW w:type="dxa" w:w="194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Tailwind CSS</w:t>
            </w:r>
          </w:p>
        </w:tc>
        <w:tc>
          <w:tcPr>
            <w:tcW w:type="dxa" w:w="396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4.3.0</w:t>
            </w:r>
          </w:p>
        </w:tc>
        <w:tc>
          <w:tcPr>
            <w:tcW w:type="dxa" w:w="345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Vite build</w:t>
            </w:r>
          </w:p>
        </w:tc>
      </w:tr>
      <w:tr>
        <w:tc>
          <w:tcPr>
            <w:tcW w:type="dxa" w:w="194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Vite</w:t>
            </w:r>
          </w:p>
        </w:tc>
        <w:tc>
          <w:tcPr>
            <w:tcW w:type="dxa" w:w="396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5.4.19</w:t>
            </w:r>
          </w:p>
        </w:tc>
        <w:tc>
          <w:tcPr>
            <w:tcW w:type="dxa" w:w="345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Frontend build</w:t>
            </w:r>
          </w:p>
        </w:tc>
      </w:tr>
    </w:tbl>
    <w:p>
      <w:pPr>
        <w:spacing w:after="0"/>
      </w:pPr>
    </w:p>
    <w:p>
      <w:bookmarkStart w:id="104" w:name="sec_major_direct_packages"/>
      <w:pPr>
        <w:pStyle w:val="Heading2"/>
      </w:pPr>
      <w:r>
        <w:t>Major direct packages</w:t>
      </w:r>
      <w:bookmarkEnd w:id="104"/>
    </w:p>
    <w:p>
      <w:pPr>
        <w:pStyle w:val="ListBullet"/>
      </w:pPr>
      <w:r>
        <w:rPr>
          <w:rFonts w:ascii="Arial" w:hAnsi="Arial"/>
          <w:color w:val="000000"/>
          <w:sz w:val="22"/>
        </w:rPr>
        <w:t>Laravel Sanctum 4.3.2; Filament Shield 4.2.0; Laravel Boost 2.4.6; Laravel Pint 1.29.1.</w:t>
      </w:r>
    </w:p>
    <w:p>
      <w:pPr>
        <w:pStyle w:val="ListBullet"/>
      </w:pPr>
      <w:r>
        <w:rPr>
          <w:rFonts w:ascii="Arial" w:hAnsi="Arial"/>
          <w:color w:val="000000"/>
          <w:sz w:val="22"/>
        </w:rPr>
        <w:t>Laravel Excel 3.1.69 for spreadsheet import/export; Laravel DOMPDF 3.1.2 for PDF output.</w:t>
      </w:r>
    </w:p>
    <w:p>
      <w:pPr>
        <w:pStyle w:val="ListBullet"/>
      </w:pPr>
      <w:r>
        <w:rPr>
          <w:rFonts w:ascii="Arial" w:hAnsi="Arial"/>
          <w:color w:val="000000"/>
          <w:sz w:val="22"/>
        </w:rPr>
        <w:t>Spatie Query Builder 7.3.0; Eloquent Sortable 5.0.1; Scribe 5.10.0; Laravel Trend 0.5.0.</w:t>
      </w:r>
    </w:p>
    <w:p>
      <w:pPr>
        <w:pStyle w:val="ListBullet"/>
      </w:pPr>
      <w:r>
        <w:rPr>
          <w:rFonts w:ascii="Arial" w:hAnsi="Arial"/>
          <w:color w:val="000000"/>
          <w:sz w:val="22"/>
        </w:rPr>
        <w:t>Frontend: Axios 1.11.0, PostCSS 8.5.6, Autoprefixer 10.4.21, Laravel Vite Plugin 1.3.0.</w:t>
      </w:r>
    </w:p>
    <w:p>
      <w:bookmarkStart w:id="105" w:name="sec_plugin_and_module_inventory"/>
      <w:pPr>
        <w:pStyle w:val="Heading1"/>
        <w:pageBreakBefore/>
      </w:pPr>
      <w:r>
        <w:t>Plugin and module inventory</w:t>
      </w:r>
      <w:bookmarkEnd w:id="105"/>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824"/>
        <w:gridCol w:w="4536"/>
      </w:tblGrid>
      <w:tr>
        <w:trPr>
          <w:tblHeader w:val="true"/>
        </w:trPr>
        <w:tc>
          <w:tcPr>
            <w:tcW w:type="dxa" w:w="4824"/>
            <w:tcMar>
              <w:top w:w="80" w:type="dxa"/>
              <w:start w:w="120" w:type="dxa"/>
              <w:bottom w:w="80" w:type="dxa"/>
              <w:end w:w="120" w:type="dxa"/>
            </w:tcMar>
            <w:vAlign w:val="center"/>
          </w:tcPr>
          <w:p>
            <w:pPr>
              <w:keepLines/>
              <w:spacing w:before="0" w:after="40" w:line="240" w:lineRule="auto"/>
            </w:pPr>
            <w:r>
              <w:rPr>
                <w:rFonts w:ascii="Arial" w:hAnsi="Arial"/>
                <w:b/>
                <w:color w:val="000000"/>
                <w:sz w:val="18"/>
              </w:rPr>
              <w:t>Plugin</w:t>
            </w:r>
          </w:p>
        </w:tc>
        <w:tc>
          <w:tcPr>
            <w:tcW w:type="dxa" w:w="4536"/>
            <w:tcMar>
              <w:top w:w="80" w:type="dxa"/>
              <w:start w:w="120" w:type="dxa"/>
              <w:bottom w:w="80" w:type="dxa"/>
              <w:end w:w="120" w:type="dxa"/>
            </w:tcMar>
            <w:vAlign w:val="center"/>
          </w:tcPr>
          <w:p>
            <w:pPr>
              <w:keepLines/>
              <w:spacing w:before="0" w:after="40" w:line="240" w:lineRule="auto"/>
            </w:pPr>
            <w:r>
              <w:rPr>
                <w:rFonts w:ascii="Arial" w:hAnsi="Arial"/>
                <w:b/>
                <w:color w:val="000000"/>
                <w:sz w:val="18"/>
              </w:rPr>
              <w:t>Fresh/local state</w:t>
            </w:r>
          </w:p>
        </w:tc>
      </w:tr>
      <w:tr>
        <w:tc>
          <w:tcPr>
            <w:tcW w:type="dxa" w:w="482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accounting, accounts, contacts, employees, inventories, invoices, maintenance</w:t>
            </w:r>
          </w:p>
        </w:tc>
        <w:tc>
          <w:tcPr>
            <w:tcW w:type="dxa" w:w="453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Installed + active</w:t>
            </w:r>
          </w:p>
        </w:tc>
      </w:tr>
      <w:tr>
        <w:tc>
          <w:tcPr>
            <w:tcW w:type="dxa" w:w="482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manufacturing, payments, products, projects, purchases, recruitments, sales</w:t>
            </w:r>
          </w:p>
        </w:tc>
        <w:tc>
          <w:tcPr>
            <w:tcW w:type="dxa" w:w="453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Installed + active</w:t>
            </w:r>
          </w:p>
        </w:tc>
      </w:tr>
      <w:tr>
        <w:tc>
          <w:tcPr>
            <w:tcW w:type="dxa" w:w="482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time-off, timesheets</w:t>
            </w:r>
          </w:p>
        </w:tc>
        <w:tc>
          <w:tcPr>
            <w:tcW w:type="dxa" w:w="453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Installed + active</w:t>
            </w:r>
          </w:p>
        </w:tc>
      </w:tr>
      <w:tr>
        <w:tc>
          <w:tcPr>
            <w:tcW w:type="dxa" w:w="482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barcode, blogs, website</w:t>
            </w:r>
          </w:p>
        </w:tc>
        <w:tc>
          <w:tcPr>
            <w:tcW w:type="dxa" w:w="453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Active, not installed</w:t>
            </w:r>
          </w:p>
        </w:tc>
      </w:tr>
      <w:tr>
        <w:tc>
          <w:tcPr>
            <w:tcW w:type="dxa" w:w="482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analytics, chatter, fields, full-calendar, partners, plugin-manager, security, support, table-views</w:t>
            </w:r>
          </w:p>
        </w:tc>
        <w:tc>
          <w:tcPr>
            <w:tcW w:type="dxa" w:w="453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Bundled shared/support modules; not represented as install-state rows in the verified plugins table</w:t>
            </w:r>
          </w:p>
        </w:tc>
      </w:tr>
    </w:tbl>
    <w:p>
      <w:pPr>
        <w:spacing w:after="0"/>
      </w:pPr>
    </w:p>
    <w:p>
      <w:r>
        <w:rPr>
          <w:rFonts w:ascii="Arial" w:hAnsi="Arial"/>
          <w:color w:val="000000"/>
          <w:sz w:val="22"/>
        </w:rPr>
        <w:t>All bundled plugin migrations remain discoverable on a fresh database. The registration migration applies defaults only when creating fresh plugin rows and preserves existing database states. Normal plugin-manager install/uninstall behavior remains available; the system does not mark every bundled directory as installed.</w:t>
      </w:r>
    </w:p>
    <w:p>
      <w:bookmarkStart w:id="106" w:name="sec_application_architecture"/>
      <w:pPr>
        <w:pStyle w:val="Heading1"/>
        <w:pageBreakBefore/>
      </w:pPr>
      <w:r>
        <w:t>Application architecture</w:t>
      </w:r>
      <w:bookmarkEnd w:id="106"/>
    </w:p>
    <w:p>
      <w:pPr>
        <w:jc w:val="center"/>
      </w:pPr>
      <w:r>
        <w:drawing>
          <wp:inline xmlns:a="http://schemas.openxmlformats.org/drawingml/2006/main" xmlns:pic="http://schemas.openxmlformats.org/drawingml/2006/picture">
            <wp:extent cx="5943600" cy="1188719"/>
            <wp:docPr id="1" name="Picture 1" descr="Runtime architecture from browser through Nginx, PHP-FPM Laravel, domain services, Eloquent and MySQL."/>
            <wp:cNvGraphicFramePr>
              <a:graphicFrameLocks noChangeAspect="1"/>
            </wp:cNvGraphicFramePr>
            <a:graphic>
              <a:graphicData uri="http://schemas.openxmlformats.org/drawingml/2006/picture">
                <pic:pic>
                  <pic:nvPicPr>
                    <pic:cNvPr id="0" name="technical_architecture.png"/>
                    <pic:cNvPicPr/>
                  </pic:nvPicPr>
                  <pic:blipFill>
                    <a:blip r:embed="rId9"/>
                    <a:stretch>
                      <a:fillRect/>
                    </a:stretch>
                  </pic:blipFill>
                  <pic:spPr>
                    <a:xfrm>
                      <a:off x="0" y="0"/>
                      <a:ext cx="5943600" cy="1188719"/>
                    </a:xfrm>
                    <a:prstGeom prst="rect"/>
                  </pic:spPr>
                </pic:pic>
              </a:graphicData>
            </a:graphic>
          </wp:inline>
        </w:drawing>
      </w:r>
    </w:p>
    <w:p>
      <w:pPr>
        <w:pStyle w:val="FigureCaption"/>
        <w:jc w:val="center"/>
      </w:pPr>
      <w:r>
        <w:t>Figure 1. Browser requests pass through Nginx and Laravel services to authoritative MySQL records.</w:t>
      </w:r>
    </w:p>
    <w:p>
      <w:pPr>
        <w:pStyle w:val="ListBullet"/>
      </w:pPr>
      <w:r>
        <w:rPr>
          <w:rFonts w:ascii="Arial" w:hAnsi="Arial"/>
          <w:color w:val="000000"/>
          <w:sz w:val="22"/>
        </w:rPr>
        <w:t>Filament clusters/resources/pages/widgets provide the administrative UI; Livewire carries stateful interactions.</w:t>
      </w:r>
    </w:p>
    <w:p>
      <w:pPr>
        <w:pStyle w:val="ListBullet"/>
      </w:pPr>
      <w:r>
        <w:rPr>
          <w:rFonts w:ascii="Arial" w:hAnsi="Arial"/>
          <w:color w:val="000000"/>
          <w:sz w:val="22"/>
        </w:rPr>
        <w:t>Domain services own validations, transitions, approvals, matching, imports, posting/reconciliation, and analytics.</w:t>
      </w:r>
    </w:p>
    <w:p>
      <w:pPr>
        <w:pStyle w:val="ListBullet"/>
      </w:pPr>
      <w:r>
        <w:rPr>
          <w:rFonts w:ascii="Arial" w:hAnsi="Arial"/>
          <w:color w:val="000000"/>
          <w:sz w:val="22"/>
        </w:rPr>
        <w:t>Eloquent models and relationships are the primary persistence interface; company_id and authorized-company relationships enforce tenancy.</w:t>
      </w:r>
    </w:p>
    <w:p>
      <w:pPr>
        <w:pStyle w:val="ListBullet"/>
      </w:pPr>
      <w:r>
        <w:rPr>
          <w:rFonts w:ascii="Arial" w:hAnsi="Arial"/>
          <w:color w:val="000000"/>
          <w:sz w:val="22"/>
        </w:rPr>
        <w:t>Plugin service providers load module migrations, resources, configuration, permissions, and routes.</w:t>
      </w:r>
    </w:p>
    <w:p>
      <w:pPr>
        <w:pStyle w:val="ListBullet"/>
      </w:pPr>
      <w:r>
        <w:rPr>
          <w:rFonts w:ascii="Arial" w:hAnsi="Arial"/>
          <w:color w:val="000000"/>
          <w:sz w:val="22"/>
        </w:rPr>
        <w:t>Reports consume posted account moves/move lines and related classification metadata rather than source spreadsheets.</w:t>
      </w:r>
    </w:p>
    <w:p>
      <w:bookmarkStart w:id="107" w:name="sec_database_architecture_and_migratio"/>
      <w:pPr>
        <w:pStyle w:val="Heading1"/>
        <w:pageBreakBefore/>
      </w:pPr>
      <w:r>
        <w:t>Database architecture and migrations</w:t>
      </w:r>
      <w:bookmarkEnd w:id="107"/>
    </w:p>
    <w:p>
      <w:r>
        <w:rPr>
          <w:rFonts w:ascii="Arial" w:hAnsi="Arial"/>
          <w:color w:val="000000"/>
          <w:sz w:val="22"/>
        </w:rPr>
        <w:t>The schema is modular: core Laravel/auth tables live under database/migrations and each Webkul plugin owns its domain migrations. Service providers load plugin migrations so a fresh database receives all required schemas without installing every plugin state.</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088"/>
        <w:gridCol w:w="7272"/>
      </w:tblGrid>
      <w:tr>
        <w:trPr>
          <w:tblHeader w:val="true"/>
        </w:trPr>
        <w:tc>
          <w:tcPr>
            <w:tcW w:type="dxa" w:w="2088"/>
            <w:tcMar>
              <w:top w:w="80" w:type="dxa"/>
              <w:start w:w="120" w:type="dxa"/>
              <w:bottom w:w="80" w:type="dxa"/>
              <w:end w:w="120" w:type="dxa"/>
            </w:tcMar>
            <w:vAlign w:val="center"/>
          </w:tcPr>
          <w:p>
            <w:pPr>
              <w:keepLines/>
              <w:spacing w:before="0" w:after="40" w:line="240" w:lineRule="auto"/>
            </w:pPr>
            <w:r>
              <w:rPr>
                <w:rFonts w:ascii="Arial" w:hAnsi="Arial"/>
                <w:b/>
                <w:color w:val="000000"/>
                <w:sz w:val="18"/>
              </w:rPr>
              <w:t>Domain</w:t>
            </w:r>
          </w:p>
        </w:tc>
        <w:tc>
          <w:tcPr>
            <w:tcW w:type="dxa" w:w="7272"/>
            <w:tcMar>
              <w:top w:w="80" w:type="dxa"/>
              <w:start w:w="120" w:type="dxa"/>
              <w:bottom w:w="80" w:type="dxa"/>
              <w:end w:w="120" w:type="dxa"/>
            </w:tcMar>
            <w:vAlign w:val="center"/>
          </w:tcPr>
          <w:p>
            <w:pPr>
              <w:keepLines/>
              <w:spacing w:before="0" w:after="40" w:line="240" w:lineRule="auto"/>
            </w:pPr>
            <w:r>
              <w:rPr>
                <w:rFonts w:ascii="Arial" w:hAnsi="Arial"/>
                <w:b/>
                <w:color w:val="000000"/>
                <w:sz w:val="18"/>
              </w:rPr>
              <w:t>Important tables / records</w:t>
            </w:r>
          </w:p>
        </w:tc>
      </w:tr>
      <w:tr>
        <w:tc>
          <w:tcPr>
            <w:tcW w:type="dxa" w:w="2088"/>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Security/company</w:t>
            </w:r>
          </w:p>
        </w:tc>
        <w:tc>
          <w:tcPr>
            <w:tcW w:type="dxa" w:w="7272"/>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users, roles/permissions, companies, user_allowed_companies, teams, plugin states</w:t>
            </w:r>
          </w:p>
        </w:tc>
      </w:tr>
      <w:tr>
        <w:tc>
          <w:tcPr>
            <w:tcW w:type="dxa" w:w="2088"/>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Accounting core</w:t>
            </w:r>
          </w:p>
        </w:tc>
        <w:tc>
          <w:tcPr>
            <w:tcW w:type="dxa" w:w="7272"/>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accounts_accounts, accounts_journals, accounts_account_moves, accounts_account_move_lines, payments/reconciles</w:t>
            </w:r>
          </w:p>
        </w:tc>
      </w:tr>
      <w:tr>
        <w:tc>
          <w:tcPr>
            <w:tcW w:type="dxa" w:w="2088"/>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Accounting imports</w:t>
            </w:r>
          </w:p>
        </w:tc>
        <w:tc>
          <w:tcPr>
            <w:tcW w:type="dxa" w:w="7272"/>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accounting_import_profiles, runs, source rows, bank statements/lines/mappings, COA batches, FS Tags</w:t>
            </w:r>
          </w:p>
        </w:tc>
      </w:tr>
      <w:tr>
        <w:tc>
          <w:tcPr>
            <w:tcW w:type="dxa" w:w="2088"/>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Approvals</w:t>
            </w:r>
          </w:p>
        </w:tc>
        <w:tc>
          <w:tcPr>
            <w:tcW w:type="dxa" w:w="7272"/>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approval_workflows, approval_steps, approval_requests, approval_decisions</w:t>
            </w:r>
          </w:p>
        </w:tc>
      </w:tr>
      <w:tr>
        <w:tc>
          <w:tcPr>
            <w:tcW w:type="dxa" w:w="2088"/>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HR</w:t>
            </w:r>
          </w:p>
        </w:tc>
        <w:tc>
          <w:tcPr>
            <w:tcW w:type="dxa" w:w="7272"/>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employees, departments, teams, status history, attendance, requests/types, performance cycles/goals/reviews</w:t>
            </w:r>
          </w:p>
        </w:tc>
      </w:tr>
      <w:tr>
        <w:tc>
          <w:tcPr>
            <w:tcW w:type="dxa" w:w="2088"/>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Projects/time</w:t>
            </w:r>
          </w:p>
        </w:tc>
        <w:tc>
          <w:tcPr>
            <w:tcW w:type="dxa" w:w="7272"/>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projects, tasks, timesheets plus HR workflow fields</w:t>
            </w:r>
          </w:p>
        </w:tc>
      </w:tr>
      <w:tr>
        <w:tc>
          <w:tcPr>
            <w:tcW w:type="dxa" w:w="2088"/>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Recruitment/leave</w:t>
            </w:r>
          </w:p>
        </w:tc>
        <w:tc>
          <w:tcPr>
            <w:tcW w:type="dxa" w:w="7272"/>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jobs, candidates, applicants, stages/source fields; leave types, allocations, requests, approval linkage</w:t>
            </w:r>
          </w:p>
        </w:tc>
      </w:tr>
    </w:tbl>
    <w:p>
      <w:pPr>
        <w:spacing w:after="0"/>
      </w:pPr>
    </w:p>
    <w:p>
      <w:bookmarkStart w:id="108" w:name="sec_key_delivered_migrations"/>
      <w:pPr>
        <w:pStyle w:val="Heading2"/>
      </w:pPr>
      <w:r>
        <w:t>Key delivered migrations</w:t>
      </w:r>
      <w:bookmarkEnd w:id="108"/>
    </w:p>
    <w:p>
      <w:pPr>
        <w:pStyle w:val="ListBullet"/>
      </w:pPr>
      <w:r>
        <w:rPr>
          <w:rFonts w:ascii="Arial" w:hAnsi="Arial"/>
          <w:color w:val="000000"/>
          <w:sz w:val="22"/>
        </w:rPr>
        <w:t>Accounting 2026-07-20 through 2026-08-25: COA import metadata/batches, bank workflow, multi-currency, configurable import platform, failure/duplicate controls, invoice references, journal-line FS Tags, obligation links.</w:t>
      </w:r>
    </w:p>
    <w:p>
      <w:pPr>
        <w:pStyle w:val="ListBullet"/>
      </w:pPr>
      <w:r>
        <w:rPr>
          <w:rFonts w:ascii="Arial" w:hAnsi="Arial"/>
          <w:color w:val="000000"/>
          <w:sz w:val="22"/>
        </w:rPr>
        <w:t>Support 2026-08-25: shared approval workflow tables.</w:t>
      </w:r>
    </w:p>
    <w:p>
      <w:pPr>
        <w:pStyle w:val="ListBullet"/>
      </w:pPr>
      <w:r>
        <w:rPr>
          <w:rFonts w:ascii="Arial" w:hAnsi="Arial"/>
          <w:color w:val="000000"/>
          <w:sz w:val="22"/>
        </w:rPr>
        <w:t>Employees 2026-08-25: HR master/hierarchy extension and HR operations tables.</w:t>
      </w:r>
    </w:p>
    <w:p>
      <w:pPr>
        <w:pStyle w:val="ListBullet"/>
      </w:pPr>
      <w:r>
        <w:rPr>
          <w:rFonts w:ascii="Arial" w:hAnsi="Arial"/>
          <w:color w:val="000000"/>
          <w:sz w:val="22"/>
        </w:rPr>
        <w:t>Projects/Recruitments/Time Off 2026-08-25: timesheet workflow, recruitment pipeline/source, and shared leave approval fields.</w:t>
      </w:r>
    </w:p>
    <w:p>
      <w:pPr>
        <w:pStyle w:val="ListBullet"/>
      </w:pPr>
      <w:r>
        <w:rPr>
          <w:rFonts w:ascii="Arial" w:hAnsi="Arial"/>
          <w:color w:val="000000"/>
          <w:sz w:val="22"/>
        </w:rPr>
        <w:t>Plugin manager 2026-08-03: bundled plugin registration defaults for fresh deployment without overwriting existing states.</w:t>
      </w:r>
    </w:p>
    <w:p>
      <w:r>
        <w:rPr>
          <w:rFonts w:ascii="Arial" w:hAnsi="Arial"/>
          <w:color w:val="000000"/>
          <w:sz w:val="22"/>
        </w:rPr>
        <w:t>Final migrate:status showed every discovered migration as Ran. Production startup does not run migrations automatically; apply forward-only migrations explicitly after a verified backup.</w:t>
      </w:r>
    </w:p>
    <w:p>
      <w:bookmarkStart w:id="109" w:name="sec_accounting_architecture"/>
      <w:pPr>
        <w:pStyle w:val="Heading1"/>
        <w:pageBreakBefore/>
      </w:pPr>
      <w:r>
        <w:t>Accounting architecture</w:t>
      </w:r>
      <w:bookmarkEnd w:id="109"/>
    </w:p>
    <w:p>
      <w:pPr>
        <w:jc w:val="center"/>
      </w:pPr>
      <w:r>
        <w:drawing>
          <wp:inline xmlns:a="http://schemas.openxmlformats.org/drawingml/2006/main" xmlns:pic="http://schemas.openxmlformats.org/drawingml/2006/picture">
            <wp:extent cx="5943600" cy="1188719"/>
            <wp:docPr id="2" name="Picture 2" descr="Accounting pipeline from parser through preview, source rows, mapping, approval, move lines, posting, General Ledger, Trial Balance and reports."/>
            <wp:cNvGraphicFramePr>
              <a:graphicFrameLocks noChangeAspect="1"/>
            </wp:cNvGraphicFramePr>
            <a:graphic>
              <a:graphicData uri="http://schemas.openxmlformats.org/drawingml/2006/picture">
                <pic:pic>
                  <pic:nvPicPr>
                    <pic:cNvPr id="0" name="technical_accounting.png"/>
                    <pic:cNvPicPr/>
                  </pic:nvPicPr>
                  <pic:blipFill>
                    <a:blip r:embed="rId10"/>
                    <a:stretch>
                      <a:fillRect/>
                    </a:stretch>
                  </pic:blipFill>
                  <pic:spPr>
                    <a:xfrm>
                      <a:off x="0" y="0"/>
                      <a:ext cx="5943600" cy="1188719"/>
                    </a:xfrm>
                    <a:prstGeom prst="rect"/>
                  </pic:spPr>
                </pic:pic>
              </a:graphicData>
            </a:graphic>
          </wp:inline>
        </w:drawing>
      </w:r>
    </w:p>
    <w:p>
      <w:pPr>
        <w:pStyle w:val="FigureCaption"/>
        <w:jc w:val="center"/>
      </w:pPr>
      <w:r>
        <w:t>Figure 2. Source data becomes authoritative only after controlled journal posting.</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384"/>
        <w:gridCol w:w="5976"/>
      </w:tblGrid>
      <w:tr>
        <w:trPr>
          <w:tblHeader w:val="true"/>
        </w:trPr>
        <w:tc>
          <w:tcPr>
            <w:tcW w:type="dxa" w:w="3384"/>
            <w:tcMar>
              <w:top w:w="80" w:type="dxa"/>
              <w:start w:w="120" w:type="dxa"/>
              <w:bottom w:w="80" w:type="dxa"/>
              <w:end w:w="120" w:type="dxa"/>
            </w:tcMar>
            <w:vAlign w:val="center"/>
          </w:tcPr>
          <w:p>
            <w:pPr>
              <w:keepLines/>
              <w:spacing w:before="0" w:after="40" w:line="240" w:lineRule="auto"/>
            </w:pPr>
            <w:r>
              <w:rPr>
                <w:rFonts w:ascii="Arial" w:hAnsi="Arial"/>
                <w:b/>
                <w:color w:val="000000"/>
                <w:sz w:val="18"/>
              </w:rPr>
              <w:t>Component</w:t>
            </w:r>
          </w:p>
        </w:tc>
        <w:tc>
          <w:tcPr>
            <w:tcW w:type="dxa" w:w="5976"/>
            <w:tcMar>
              <w:top w:w="80" w:type="dxa"/>
              <w:start w:w="120" w:type="dxa"/>
              <w:bottom w:w="80" w:type="dxa"/>
              <w:end w:w="120" w:type="dxa"/>
            </w:tcMar>
            <w:vAlign w:val="center"/>
          </w:tcPr>
          <w:p>
            <w:pPr>
              <w:keepLines/>
              <w:spacing w:before="0" w:after="40" w:line="240" w:lineRule="auto"/>
            </w:pPr>
            <w:r>
              <w:rPr>
                <w:rFonts w:ascii="Arial" w:hAnsi="Arial"/>
                <w:b/>
                <w:color w:val="000000"/>
                <w:sz w:val="18"/>
              </w:rPr>
              <w:t>Responsibility</w:t>
            </w:r>
          </w:p>
        </w:tc>
      </w:tr>
      <w:tr>
        <w:tc>
          <w:tcPr>
            <w:tcW w:type="dxa" w:w="338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CommonWorkbookBankStatementParser</w:t>
            </w:r>
          </w:p>
        </w:tc>
        <w:tc>
          <w:tcPr>
            <w:tcW w:type="dxa" w:w="597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Reads the common multi-sheet financial workbook and normalizes statement metadata/transactions</w:t>
            </w:r>
          </w:p>
        </w:tc>
      </w:tr>
      <w:tr>
        <w:tc>
          <w:tcPr>
            <w:tcW w:type="dxa" w:w="338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ImportPreviewService</w:t>
            </w:r>
          </w:p>
        </w:tc>
        <w:tc>
          <w:tcPr>
            <w:tcW w:type="dxa" w:w="597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Header/profile mapping, normalization preview, row counts, duplicates, and validation summaries</w:t>
            </w:r>
          </w:p>
        </w:tc>
      </w:tr>
      <w:tr>
        <w:tc>
          <w:tcPr>
            <w:tcW w:type="dxa" w:w="338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ImportExecutionService</w:t>
            </w:r>
          </w:p>
        </w:tc>
        <w:tc>
          <w:tcPr>
            <w:tcW w:type="dxa" w:w="597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Applies failure policy, persists accepted/source rows, produces rejected outcomes, groups journal entries</w:t>
            </w:r>
          </w:p>
        </w:tc>
      </w:tr>
      <w:tr>
        <w:tc>
          <w:tcPr>
            <w:tcW w:type="dxa" w:w="338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ImportEntityRegistry / TransformationEngine</w:t>
            </w:r>
          </w:p>
        </w:tc>
        <w:tc>
          <w:tcPr>
            <w:tcW w:type="dxa" w:w="597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Entity/profile definitions, aliases, validation and normalized transformations</w:t>
            </w:r>
          </w:p>
        </w:tc>
      </w:tr>
      <w:tr>
        <w:tc>
          <w:tcPr>
            <w:tcW w:type="dxa" w:w="338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BankMappingService</w:t>
            </w:r>
          </w:p>
        </w:tc>
        <w:tc>
          <w:tcPr>
            <w:tcW w:type="dxa" w:w="597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Company-scoped Bank/Offset GL and FS Tag/counterparty mapping</w:t>
            </w:r>
          </w:p>
        </w:tc>
      </w:tr>
      <w:tr>
        <w:tc>
          <w:tcPr>
            <w:tcW w:type="dxa" w:w="338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BankMatchingPriorityService</w:t>
            </w:r>
          </w:p>
        </w:tc>
        <w:tc>
          <w:tcPr>
            <w:tcW w:type="dxa" w:w="597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Prioritized invoice/obligation matching using reliable identifiers</w:t>
            </w:r>
          </w:p>
        </w:tc>
      </w:tr>
      <w:tr>
        <w:tc>
          <w:tcPr>
            <w:tcW w:type="dxa" w:w="338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BankJournalService</w:t>
            </w:r>
          </w:p>
        </w:tc>
        <w:tc>
          <w:tcPr>
            <w:tcW w:type="dxa" w:w="597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Balanced draft move generation with source, company, currency, tax/cash-flow metadata</w:t>
            </w:r>
          </w:p>
        </w:tc>
      </w:tr>
      <w:tr>
        <w:tc>
          <w:tcPr>
            <w:tcW w:type="dxa" w:w="338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AccountingReconciliationService</w:t>
            </w:r>
          </w:p>
        </w:tc>
        <w:tc>
          <w:tcPr>
            <w:tcW w:type="dxa" w:w="597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Ledger-derived reconciliation controls and report consistency checks</w:t>
            </w:r>
          </w:p>
        </w:tc>
      </w:tr>
      <w:tr>
        <w:tc>
          <w:tcPr>
            <w:tcW w:type="dxa" w:w="338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PartnerAnalyticsService</w:t>
            </w:r>
          </w:p>
        </w:tc>
        <w:tc>
          <w:tcPr>
            <w:tcW w:type="dxa" w:w="597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Customer/vendor financial summaries, aging, exposure, concentration and trends</w:t>
            </w:r>
          </w:p>
        </w:tc>
      </w:tr>
    </w:tbl>
    <w:p>
      <w:pPr>
        <w:spacing w:after="0"/>
      </w:pPr>
    </w:p>
    <w:p>
      <w:r>
        <w:rPr>
          <w:rFonts w:ascii="Arial" w:hAnsi="Arial"/>
          <w:color w:val="000000"/>
          <w:sz w:val="22"/>
        </w:rPr>
        <w:t>Permanent account IDs are used in move lines and mappings. GL codes and names remain controlled metadata. Unknown/deprecated/group/wrong-company accounts are not silently created from opening, bank, or non-bank transaction imports.</w:t>
      </w:r>
    </w:p>
    <w:p>
      <w:bookmarkStart w:id="110" w:name="sec_import_currency_and_reporting_arch"/>
      <w:pPr>
        <w:pStyle w:val="Heading1"/>
        <w:pageBreakBefore/>
      </w:pPr>
      <w:r>
        <w:t>Import, currency, and reporting architecture</w:t>
      </w:r>
      <w:bookmarkEnd w:id="110"/>
    </w:p>
    <w:p>
      <w:bookmarkStart w:id="111" w:name="sec_import_architecture"/>
      <w:pPr>
        <w:pStyle w:val="Heading2"/>
      </w:pPr>
      <w:r>
        <w:t>Import architecture</w:t>
      </w:r>
      <w:bookmarkEnd w:id="111"/>
    </w:p>
    <w:p>
      <w:pPr>
        <w:pStyle w:val="ListBullet"/>
      </w:pPr>
      <w:r>
        <w:rPr>
          <w:rFonts w:ascii="Arial" w:hAnsi="Arial"/>
          <w:color w:val="000000"/>
          <w:sz w:val="22"/>
        </w:rPr>
        <w:t>Import profiles store accepted columns/aliases, compulsory rules, transformations, failure policy, and entity type.</w:t>
      </w:r>
    </w:p>
    <w:p>
      <w:pPr>
        <w:pStyle w:val="ListBullet"/>
      </w:pPr>
      <w:r>
        <w:rPr>
          <w:rFonts w:ascii="Arial" w:hAnsi="Arial"/>
          <w:color w:val="000000"/>
          <w:sz w:val="22"/>
        </w:rPr>
        <w:t>Import runs and source rows preserve raw/normalized payload, validation errors, fingerprint, provenance, and outcome.</w:t>
      </w:r>
    </w:p>
    <w:p>
      <w:pPr>
        <w:pStyle w:val="ListBullet"/>
      </w:pPr>
      <w:r>
        <w:rPr>
          <w:rFonts w:ascii="Arial" w:hAnsi="Arial"/>
          <w:color w:val="000000"/>
          <w:sz w:val="22"/>
        </w:rPr>
        <w:t>Failure modes: needs review, reject failed rows with CSV, reject whole file, and warn/continue for configured non-critical rules.</w:t>
      </w:r>
    </w:p>
    <w:p>
      <w:pPr>
        <w:pStyle w:val="ListBullet"/>
      </w:pPr>
      <w:r>
        <w:rPr>
          <w:rFonts w:ascii="Arial" w:hAnsi="Arial"/>
          <w:color w:val="000000"/>
          <w:sz w:val="22"/>
        </w:rPr>
        <w:t>Stable fingerprints support incremental/overlapping statement files and prevent duplicate postings after confirmation.</w:t>
      </w:r>
    </w:p>
    <w:p>
      <w:bookmarkStart w:id="112" w:name="sec_currency_architecture"/>
      <w:pPr>
        <w:pStyle w:val="Heading2"/>
      </w:pPr>
      <w:r>
        <w:t>Currency architecture</w:t>
      </w:r>
      <w:bookmarkEnd w:id="112"/>
    </w:p>
    <w:p>
      <w:r>
        <w:rPr>
          <w:rFonts w:ascii="Arial" w:hAnsi="Arial"/>
          <w:color w:val="000000"/>
          <w:sz w:val="22"/>
        </w:rPr>
        <w:t>Account moves and lines can store original_currency_id, company_currency_id, reporting_currency_id, exchange_rate_id, exchange_rate, rate_date, rate_source, rate_type, original/company debit-credit amounts, and conversion status. ExchangeRateApprovalService governs approval-aware changes. Historical conversion references are preserved for auditability.</w:t>
      </w:r>
    </w:p>
    <w:p>
      <w:bookmarkStart w:id="113" w:name="sec_reporting_architecture"/>
      <w:pPr>
        <w:pStyle w:val="Heading2"/>
      </w:pPr>
      <w:r>
        <w:t>Reporting architecture</w:t>
      </w:r>
      <w:bookmarkEnd w:id="113"/>
    </w:p>
    <w:p>
      <w:r>
        <w:rPr>
          <w:rFonts w:ascii="Arial" w:hAnsi="Arial"/>
          <w:color w:val="000000"/>
          <w:sz w:val="22"/>
        </w:rPr>
        <w:t>Journal, General Ledger, Trial Balance, Profit &amp; Loss, Balance Sheet, Cash Flow, partner ledger, aging, analytics, and reconciliation read authoritative accounting records. Opening/period/adjustment separation is date- and persistent-classification-aware. Draft moves are excluded from posted reporting. Screen and export paths are covered by accounting tests and use the same ledger-derived basis.</w:t>
      </w:r>
    </w:p>
    <w:p>
      <w:bookmarkStart w:id="114" w:name="sec_hr_architecture"/>
      <w:pPr>
        <w:pStyle w:val="Heading1"/>
        <w:pageBreakBefore/>
      </w:pPr>
      <w:r>
        <w:t>HR architecture</w:t>
      </w:r>
      <w:bookmarkEnd w:id="114"/>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528"/>
        <w:gridCol w:w="5832"/>
      </w:tblGrid>
      <w:tr>
        <w:trPr>
          <w:tblHeader w:val="true"/>
        </w:trPr>
        <w:tc>
          <w:tcPr>
            <w:tcW w:type="dxa" w:w="3528"/>
            <w:tcMar>
              <w:top w:w="80" w:type="dxa"/>
              <w:start w:w="120" w:type="dxa"/>
              <w:bottom w:w="80" w:type="dxa"/>
              <w:end w:w="120" w:type="dxa"/>
            </w:tcMar>
            <w:vAlign w:val="center"/>
          </w:tcPr>
          <w:p>
            <w:pPr>
              <w:keepLines/>
              <w:spacing w:before="0" w:after="40" w:line="240" w:lineRule="auto"/>
            </w:pPr>
            <w:r>
              <w:rPr>
                <w:rFonts w:ascii="Arial" w:hAnsi="Arial"/>
                <w:b/>
                <w:color w:val="000000"/>
                <w:sz w:val="18"/>
              </w:rPr>
              <w:t>Service/model</w:t>
            </w:r>
          </w:p>
        </w:tc>
        <w:tc>
          <w:tcPr>
            <w:tcW w:type="dxa" w:w="5832"/>
            <w:tcMar>
              <w:top w:w="80" w:type="dxa"/>
              <w:start w:w="120" w:type="dxa"/>
              <w:bottom w:w="80" w:type="dxa"/>
              <w:end w:w="120" w:type="dxa"/>
            </w:tcMar>
            <w:vAlign w:val="center"/>
          </w:tcPr>
          <w:p>
            <w:pPr>
              <w:keepLines/>
              <w:spacing w:before="0" w:after="40" w:line="240" w:lineRule="auto"/>
            </w:pPr>
            <w:r>
              <w:rPr>
                <w:rFonts w:ascii="Arial" w:hAnsi="Arial"/>
                <w:b/>
                <w:color w:val="000000"/>
                <w:sz w:val="18"/>
              </w:rPr>
              <w:t>Responsibility</w:t>
            </w:r>
          </w:p>
        </w:tc>
      </w:tr>
      <w:tr>
        <w:tc>
          <w:tcPr>
            <w:tcW w:type="dxa" w:w="3528"/>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HrHierarchyService</w:t>
            </w:r>
          </w:p>
        </w:tc>
        <w:tc>
          <w:tcPr>
            <w:tcW w:type="dxa" w:w="5832"/>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Company/department/team/manager/employee visibility and reporting scope</w:t>
            </w:r>
          </w:p>
        </w:tc>
      </w:tr>
      <w:tr>
        <w:tc>
          <w:tcPr>
            <w:tcW w:type="dxa" w:w="3528"/>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EmployeeSensitiveChangeService</w:t>
            </w:r>
          </w:p>
        </w:tc>
        <w:tc>
          <w:tcPr>
            <w:tcW w:type="dxa" w:w="5832"/>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Controlled updates and audit records for sensitive employee fields</w:t>
            </w:r>
          </w:p>
        </w:tc>
      </w:tr>
      <w:tr>
        <w:tc>
          <w:tcPr>
            <w:tcW w:type="dxa" w:w="3528"/>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EmployeeRequestService</w:t>
            </w:r>
          </w:p>
        </w:tc>
        <w:tc>
          <w:tcPr>
            <w:tcW w:type="dxa" w:w="5832"/>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Submit/review/approve/reject employee requests and synchronize financial subjects</w:t>
            </w:r>
          </w:p>
        </w:tc>
      </w:tr>
      <w:tr>
        <w:tc>
          <w:tcPr>
            <w:tcW w:type="dxa" w:w="3528"/>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PerformanceService</w:t>
            </w:r>
          </w:p>
        </w:tc>
        <w:tc>
          <w:tcPr>
            <w:tcW w:type="dxa" w:w="5832"/>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Performance cycles, goals, review transitions, ratings and recommendations</w:t>
            </w:r>
          </w:p>
        </w:tc>
      </w:tr>
      <w:tr>
        <w:tc>
          <w:tcPr>
            <w:tcW w:type="dxa" w:w="3528"/>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HrAnalyticsService</w:t>
            </w:r>
          </w:p>
        </w:tc>
        <w:tc>
          <w:tcPr>
            <w:tcW w:type="dxa" w:w="5832"/>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Authorized company-scoped operational HR metrics</w:t>
            </w:r>
          </w:p>
        </w:tc>
      </w:tr>
      <w:tr>
        <w:tc>
          <w:tcPr>
            <w:tcW w:type="dxa" w:w="3528"/>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TimesheetWorkflowService</w:t>
            </w:r>
          </w:p>
        </w:tc>
        <w:tc>
          <w:tcPr>
            <w:tcW w:type="dxa" w:w="5832"/>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Submission, approval, rejection/rework, manager scope, overtime/billability state</w:t>
            </w:r>
          </w:p>
        </w:tc>
      </w:tr>
      <w:tr>
        <w:tc>
          <w:tcPr>
            <w:tcW w:type="dxa" w:w="3528"/>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LeaveApprovalService</w:t>
            </w:r>
          </w:p>
        </w:tc>
        <w:tc>
          <w:tcPr>
            <w:tcW w:type="dxa" w:w="5832"/>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Existing Time Off policy plus shared approval workflow synchronization</w:t>
            </w:r>
          </w:p>
        </w:tc>
      </w:tr>
      <w:tr>
        <w:tc>
          <w:tcPr>
            <w:tcW w:type="dxa" w:w="3528"/>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ApplicantIntakeService / SourceRegistry</w:t>
            </w:r>
          </w:p>
        </w:tc>
        <w:tc>
          <w:tcPr>
            <w:tcW w:type="dxa" w:w="5832"/>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Normalized manual/API applicant intake with source provenance</w:t>
            </w:r>
          </w:p>
        </w:tc>
      </w:tr>
      <w:tr>
        <w:tc>
          <w:tcPr>
            <w:tcW w:type="dxa" w:w="3528"/>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CandidateConversionService</w:t>
            </w:r>
          </w:p>
        </w:tc>
        <w:tc>
          <w:tcPr>
            <w:tcW w:type="dxa" w:w="5832"/>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Hired candidate → Employee conversion without duplicate re-entry</w:t>
            </w:r>
          </w:p>
        </w:tc>
      </w:tr>
    </w:tbl>
    <w:p>
      <w:pPr>
        <w:spacing w:after="0"/>
      </w:pPr>
    </w:p>
    <w:p>
      <w:r>
        <w:rPr>
          <w:rFonts w:ascii="Arial" w:hAnsi="Arial"/>
          <w:color w:val="000000"/>
          <w:sz w:val="22"/>
        </w:rPr>
        <w:t>The HR implementation extends employees, projects/timesheets, recruitments, security teams, support approvals, and time-off plugins. It does not create a parallel HR or payroll domain.</w:t>
      </w:r>
    </w:p>
    <w:p>
      <w:bookmarkStart w:id="115" w:name="sec_approval_hierarchy_permissions_and"/>
      <w:pPr>
        <w:pStyle w:val="Heading1"/>
        <w:pageBreakBefore/>
      </w:pPr>
      <w:r>
        <w:t>Approval, hierarchy, permissions, and audit</w:t>
      </w:r>
      <w:bookmarkEnd w:id="115"/>
    </w:p>
    <w:p>
      <w:pPr>
        <w:jc w:val="center"/>
      </w:pPr>
      <w:r>
        <w:drawing>
          <wp:inline xmlns:a="http://schemas.openxmlformats.org/drawingml/2006/main" xmlns:pic="http://schemas.openxmlformats.org/drawingml/2006/picture">
            <wp:extent cx="5943600" cy="1188719"/>
            <wp:docPr id="3" name="Picture 3" descr="Shared approval flow from subject request through workflow matching, ordered steps, decision, subject synchronization and audit trail."/>
            <wp:cNvGraphicFramePr>
              <a:graphicFrameLocks noChangeAspect="1"/>
            </wp:cNvGraphicFramePr>
            <a:graphic>
              <a:graphicData uri="http://schemas.openxmlformats.org/drawingml/2006/picture">
                <pic:pic>
                  <pic:nvPicPr>
                    <pic:cNvPr id="0" name="technical_approval.png"/>
                    <pic:cNvPicPr/>
                  </pic:nvPicPr>
                  <pic:blipFill>
                    <a:blip r:embed="rId11"/>
                    <a:stretch>
                      <a:fillRect/>
                    </a:stretch>
                  </pic:blipFill>
                  <pic:spPr>
                    <a:xfrm>
                      <a:off x="0" y="0"/>
                      <a:ext cx="5943600" cy="1188719"/>
                    </a:xfrm>
                    <a:prstGeom prst="rect"/>
                  </pic:spPr>
                </pic:pic>
              </a:graphicData>
            </a:graphic>
          </wp:inline>
        </w:drawing>
      </w:r>
    </w:p>
    <w:p>
      <w:pPr>
        <w:pStyle w:val="FigureCaption"/>
        <w:jc w:val="center"/>
      </w:pPr>
      <w:r>
        <w:t>Figure 3. Accounting and HR reuse one configurable approval engine.</w:t>
      </w:r>
    </w:p>
    <w:p>
      <w:pPr>
        <w:pStyle w:val="ListBullet"/>
      </w:pPr>
      <w:r>
        <w:rPr>
          <w:rFonts w:ascii="Arial" w:hAnsi="Arial"/>
          <w:color w:val="000000"/>
          <w:sz w:val="22"/>
        </w:rPr>
        <w:t>ApprovalWorkflow and ApprovalStep define subject type, company/dimensions, ordered routes, approvers, thresholds, and active state.</w:t>
      </w:r>
    </w:p>
    <w:p>
      <w:pPr>
        <w:pStyle w:val="ListBullet"/>
      </w:pPr>
      <w:r>
        <w:rPr>
          <w:rFonts w:ascii="Arial" w:hAnsi="Arial"/>
          <w:color w:val="000000"/>
          <w:sz w:val="22"/>
        </w:rPr>
        <w:t>ApprovalRequest and ApprovalDecision record requester, subject, current state, approver action, reason, and timestamps.</w:t>
      </w:r>
    </w:p>
    <w:p>
      <w:pPr>
        <w:pStyle w:val="ListBullet"/>
      </w:pPr>
      <w:r>
        <w:rPr>
          <w:rFonts w:ascii="Arial" w:hAnsi="Arial"/>
          <w:color w:val="000000"/>
          <w:sz w:val="22"/>
        </w:rPr>
        <w:t>ApprovalEngine validates workflow selection and transitions; ApprovalSubjectSynchronizer updates the domain subject after decisions.</w:t>
      </w:r>
    </w:p>
    <w:p>
      <w:pPr>
        <w:pStyle w:val="ListBullet"/>
      </w:pPr>
      <w:r>
        <w:rPr>
          <w:rFonts w:ascii="Arial" w:hAnsi="Arial"/>
          <w:color w:val="000000"/>
          <w:sz w:val="22"/>
        </w:rPr>
        <w:t>AccountingPermissions and HrPermissions centralize protected action names; sync commands generate all required permission records.</w:t>
      </w:r>
    </w:p>
    <w:p>
      <w:pPr>
        <w:pStyle w:val="ListBullet"/>
      </w:pPr>
      <w:r>
        <w:rPr>
          <w:rFonts w:ascii="Arial" w:hAnsi="Arial"/>
          <w:color w:val="000000"/>
          <w:sz w:val="22"/>
        </w:rPr>
        <w:t>Filament visibility is paired with service/policy validation. Bulk actions must validate each selected record; frontend hiding alone is insufficient.</w:t>
      </w:r>
    </w:p>
    <w:p>
      <w:pPr>
        <w:pStyle w:val="ListBullet"/>
      </w:pPr>
      <w:r>
        <w:rPr>
          <w:rFonts w:ascii="Arial" w:hAnsi="Arial"/>
          <w:color w:val="000000"/>
          <w:sz w:val="22"/>
        </w:rPr>
        <w:t>Audit evidence includes imports/source rows, matching source/confidence, rates, approval decisions, status histories, posting status and source IDs.</w:t>
      </w:r>
    </w:p>
    <w:p>
      <w:bookmarkStart w:id="116" w:name="sec_integration_points"/>
      <w:pPr>
        <w:pStyle w:val="Heading1"/>
        <w:pageBreakBefore/>
      </w:pPr>
      <w:r>
        <w:t>Integration points</w:t>
      </w:r>
      <w:bookmarkEnd w:id="116"/>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880"/>
        <w:gridCol w:w="6480"/>
      </w:tblGrid>
      <w:tr>
        <w:trPr>
          <w:tblHeader w:val="true"/>
        </w:trPr>
        <w:tc>
          <w:tcPr>
            <w:tcW w:type="dxa" w:w="2880"/>
            <w:tcMar>
              <w:top w:w="80" w:type="dxa"/>
              <w:start w:w="120" w:type="dxa"/>
              <w:bottom w:w="80" w:type="dxa"/>
              <w:end w:w="120" w:type="dxa"/>
            </w:tcMar>
            <w:vAlign w:val="center"/>
          </w:tcPr>
          <w:p>
            <w:pPr>
              <w:keepLines/>
              <w:spacing w:before="0" w:after="40" w:line="240" w:lineRule="auto"/>
            </w:pPr>
            <w:r>
              <w:rPr>
                <w:rFonts w:ascii="Arial" w:hAnsi="Arial"/>
                <w:b/>
                <w:color w:val="000000"/>
                <w:sz w:val="18"/>
              </w:rPr>
              <w:t>Integration</w:t>
            </w:r>
          </w:p>
        </w:tc>
        <w:tc>
          <w:tcPr>
            <w:tcW w:type="dxa" w:w="6480"/>
            <w:tcMar>
              <w:top w:w="80" w:type="dxa"/>
              <w:start w:w="120" w:type="dxa"/>
              <w:bottom w:w="80" w:type="dxa"/>
              <w:end w:w="120" w:type="dxa"/>
            </w:tcMar>
            <w:vAlign w:val="center"/>
          </w:tcPr>
          <w:p>
            <w:pPr>
              <w:keepLines/>
              <w:spacing w:before="0" w:after="40" w:line="240" w:lineRule="auto"/>
            </w:pPr>
            <w:r>
              <w:rPr>
                <w:rFonts w:ascii="Arial" w:hAnsi="Arial"/>
                <w:b/>
                <w:color w:val="000000"/>
                <w:sz w:val="18"/>
              </w:rPr>
              <w:t>Contract / behavior</w:t>
            </w:r>
          </w:p>
        </w:tc>
      </w:tr>
      <w:tr>
        <w:tc>
          <w:tcPr>
            <w:tcW w:type="dxa" w:w="288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Invoice ↔ Accounting</w:t>
            </w:r>
          </w:p>
        </w:tc>
        <w:tc>
          <w:tcPr>
            <w:tcW w:type="dxa" w:w="648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Posted invoices create accrual moves; payment/reconciliation updates obligation/payment state</w:t>
            </w:r>
          </w:p>
        </w:tc>
      </w:tr>
      <w:tr>
        <w:tc>
          <w:tcPr>
            <w:tcW w:type="dxa" w:w="288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Bank ↔ Invoice</w:t>
            </w:r>
          </w:p>
        </w:tc>
        <w:tc>
          <w:tcPr>
            <w:tcW w:type="dxa" w:w="648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Mapping can link invoice/booking/consolidated/reference/partner/amount to obligations; ambiguity stays in review</w:t>
            </w:r>
          </w:p>
        </w:tc>
      </w:tr>
      <w:tr>
        <w:tc>
          <w:tcPr>
            <w:tcW w:type="dxa" w:w="288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HR requests ↔ Accounting</w:t>
            </w:r>
          </w:p>
        </w:tc>
        <w:tc>
          <w:tcPr>
            <w:tcW w:type="dxa" w:w="648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Approved financial requests create controlled Accounting handoff and retain source subject links</w:t>
            </w:r>
          </w:p>
        </w:tc>
      </w:tr>
      <w:tr>
        <w:tc>
          <w:tcPr>
            <w:tcW w:type="dxa" w:w="288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Recruitment ↔ Employees</w:t>
            </w:r>
          </w:p>
        </w:tc>
        <w:tc>
          <w:tcPr>
            <w:tcW w:type="dxa" w:w="648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Hired candidates convert through CandidateConversionService with duplicate protection</w:t>
            </w:r>
          </w:p>
        </w:tc>
      </w:tr>
      <w:tr>
        <w:tc>
          <w:tcPr>
            <w:tcW w:type="dxa" w:w="288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Leave/timesheets ↔ approvals</w:t>
            </w:r>
          </w:p>
        </w:tc>
        <w:tc>
          <w:tcPr>
            <w:tcW w:type="dxa" w:w="648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Domain services synchronize shared approval outcomes while preserving domain policies</w:t>
            </w:r>
          </w:p>
        </w:tc>
      </w:tr>
      <w:tr>
        <w:tc>
          <w:tcPr>
            <w:tcW w:type="dxa" w:w="288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External applicant sources</w:t>
            </w:r>
          </w:p>
        </w:tc>
        <w:tc>
          <w:tcPr>
            <w:tcW w:type="dxa" w:w="648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ApplicantSourceAdapter contract, manual adapter, and generic API adapter; no false live-provider claim</w:t>
            </w:r>
          </w:p>
        </w:tc>
      </w:tr>
      <w:tr>
        <w:tc>
          <w:tcPr>
            <w:tcW w:type="dxa" w:w="288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Future attendance sources</w:t>
            </w:r>
          </w:p>
        </w:tc>
        <w:tc>
          <w:tcPr>
            <w:tcW w:type="dxa" w:w="648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Attendance source field/architecture permits adapters; no biometric provider is bundled</w:t>
            </w:r>
          </w:p>
        </w:tc>
      </w:tr>
    </w:tbl>
    <w:p>
      <w:pPr>
        <w:spacing w:after="0"/>
      </w:pPr>
    </w:p>
    <w:p>
      <w:bookmarkStart w:id="117" w:name="sec_environment_and_configuration"/>
      <w:pPr>
        <w:pStyle w:val="Heading1"/>
        <w:pageBreakBefore/>
      </w:pPr>
      <w:r>
        <w:t>Environment and configuration</w:t>
      </w:r>
      <w:bookmarkEnd w:id="117"/>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880"/>
        <w:gridCol w:w="6480"/>
      </w:tblGrid>
      <w:tr>
        <w:trPr>
          <w:tblHeader w:val="true"/>
        </w:trPr>
        <w:tc>
          <w:tcPr>
            <w:tcW w:type="dxa" w:w="2880"/>
            <w:tcMar>
              <w:top w:w="80" w:type="dxa"/>
              <w:start w:w="120" w:type="dxa"/>
              <w:bottom w:w="80" w:type="dxa"/>
              <w:end w:w="120" w:type="dxa"/>
            </w:tcMar>
            <w:vAlign w:val="center"/>
          </w:tcPr>
          <w:p>
            <w:pPr>
              <w:keepLines/>
              <w:spacing w:before="0" w:after="40" w:line="240" w:lineRule="auto"/>
            </w:pPr>
            <w:r>
              <w:rPr>
                <w:rFonts w:ascii="Arial" w:hAnsi="Arial"/>
                <w:b/>
                <w:color w:val="000000"/>
                <w:sz w:val="18"/>
              </w:rPr>
              <w:t>Variable / setting</w:t>
            </w:r>
          </w:p>
        </w:tc>
        <w:tc>
          <w:tcPr>
            <w:tcW w:type="dxa" w:w="6480"/>
            <w:tcMar>
              <w:top w:w="80" w:type="dxa"/>
              <w:start w:w="120" w:type="dxa"/>
              <w:bottom w:w="80" w:type="dxa"/>
              <w:end w:w="120" w:type="dxa"/>
            </w:tcMar>
            <w:vAlign w:val="center"/>
          </w:tcPr>
          <w:p>
            <w:pPr>
              <w:keepLines/>
              <w:spacing w:before="0" w:after="40" w:line="240" w:lineRule="auto"/>
            </w:pPr>
            <w:r>
              <w:rPr>
                <w:rFonts w:ascii="Arial" w:hAnsi="Arial"/>
                <w:b/>
                <w:color w:val="000000"/>
                <w:sz w:val="18"/>
              </w:rPr>
              <w:t>Requirement</w:t>
            </w:r>
          </w:p>
        </w:tc>
      </w:tr>
      <w:tr>
        <w:tc>
          <w:tcPr>
            <w:tcW w:type="dxa" w:w="288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APP_KEY</w:t>
            </w:r>
          </w:p>
        </w:tc>
        <w:tc>
          <w:tcPr>
            <w:tcW w:type="dxa" w:w="648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Unique non-empty secret; generated during initial environment setup, never committed</w:t>
            </w:r>
          </w:p>
        </w:tc>
      </w:tr>
      <w:tr>
        <w:tc>
          <w:tcPr>
            <w:tcW w:type="dxa" w:w="288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APP_URL / ASSET_URL</w:t>
            </w:r>
          </w:p>
        </w:tc>
        <w:tc>
          <w:tcPr>
            <w:tcW w:type="dxa" w:w="648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Environment supplied; no hardcoded domain or public IP</w:t>
            </w:r>
          </w:p>
        </w:tc>
      </w:tr>
      <w:tr>
        <w:tc>
          <w:tcPr>
            <w:tcW w:type="dxa" w:w="288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FORCE_HTTPS</w:t>
            </w:r>
          </w:p>
        </w:tc>
        <w:tc>
          <w:tcPr>
            <w:tcW w:type="dxa" w:w="648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false for HTTP; true only when HTTPS termination/proxy is correctly configured</w:t>
            </w:r>
          </w:p>
        </w:tc>
      </w:tr>
      <w:tr>
        <w:tc>
          <w:tcPr>
            <w:tcW w:type="dxa" w:w="288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SESSION_SECURE_COOKIE</w:t>
            </w:r>
          </w:p>
        </w:tc>
        <w:tc>
          <w:tcPr>
            <w:tcW w:type="dxa" w:w="648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false for HTTP; true for production HTTPS</w:t>
            </w:r>
          </w:p>
        </w:tc>
      </w:tr>
      <w:tr>
        <w:tc>
          <w:tcPr>
            <w:tcW w:type="dxa" w:w="288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DB_*</w:t>
            </w:r>
          </w:p>
        </w:tc>
        <w:tc>
          <w:tcPr>
            <w:tcW w:type="dxa" w:w="648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Use mysql service host inside Compose or the approved external DB; credentials outside Git</w:t>
            </w:r>
          </w:p>
        </w:tc>
      </w:tr>
      <w:tr>
        <w:tc>
          <w:tcPr>
            <w:tcW w:type="dxa" w:w="288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CACHE_STORE</w:t>
            </w:r>
          </w:p>
        </w:tc>
        <w:tc>
          <w:tcPr>
            <w:tcW w:type="dxa" w:w="648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database by default</w:t>
            </w:r>
          </w:p>
        </w:tc>
      </w:tr>
      <w:tr>
        <w:tc>
          <w:tcPr>
            <w:tcW w:type="dxa" w:w="288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QUEUE_CONNECTION</w:t>
            </w:r>
          </w:p>
        </w:tc>
        <w:tc>
          <w:tcPr>
            <w:tcW w:type="dxa" w:w="648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database by default; run queue worker</w:t>
            </w:r>
          </w:p>
        </w:tc>
      </w:tr>
      <w:tr>
        <w:tc>
          <w:tcPr>
            <w:tcW w:type="dxa" w:w="288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SESSION_DRIVER</w:t>
            </w:r>
          </w:p>
        </w:tc>
        <w:tc>
          <w:tcPr>
            <w:tcW w:type="dxa" w:w="648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database by default</w:t>
            </w:r>
          </w:p>
        </w:tc>
      </w:tr>
      <w:tr>
        <w:tc>
          <w:tcPr>
            <w:tcW w:type="dxa" w:w="288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MYSQL_ROOT_PASSWORD</w:t>
            </w:r>
          </w:p>
        </w:tc>
        <w:tc>
          <w:tcPr>
            <w:tcW w:type="dxa" w:w="648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Non-empty Docker secret used by MySQL health/administration; never reuse application credentials</w:t>
            </w:r>
          </w:p>
        </w:tc>
      </w:tr>
    </w:tbl>
    <w:p>
      <w:pPr>
        <w:spacing w:after="0"/>
      </w:pPr>
    </w:p>
    <w:p>
      <w:r>
        <w:rPr>
          <w:rFonts w:ascii="Arial" w:hAnsi="Arial"/>
          <w:color w:val="000000"/>
          <w:sz w:val="22"/>
        </w:rPr>
        <w:t>Fresh deployment must seed required reference/configuration data and permissions only. Existing databases preserve plugin states. Production secrets should be supplied through host secret management; AWS Secrets Manager or SSM Parameter Store are recommendations, not mandatory application dependencies.</w:t>
      </w:r>
    </w:p>
    <w:p>
      <w:bookmarkStart w:id="118" w:name="sec_docker_deployment_architecture"/>
      <w:pPr>
        <w:pStyle w:val="Heading1"/>
        <w:pageBreakBefore/>
      </w:pPr>
      <w:r>
        <w:t>Docker deployment architecture</w:t>
      </w:r>
      <w:bookmarkEnd w:id="118"/>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440"/>
        <w:gridCol w:w="4320"/>
        <w:gridCol w:w="3600"/>
      </w:tblGrid>
      <w:tr>
        <w:trPr>
          <w:tblHeader w:val="true"/>
        </w:trPr>
        <w:tc>
          <w:tcPr>
            <w:tcW w:type="dxa" w:w="1440"/>
            <w:tcMar>
              <w:top w:w="80" w:type="dxa"/>
              <w:start w:w="120" w:type="dxa"/>
              <w:bottom w:w="80" w:type="dxa"/>
              <w:end w:w="120" w:type="dxa"/>
            </w:tcMar>
            <w:vAlign w:val="center"/>
          </w:tcPr>
          <w:p>
            <w:pPr>
              <w:keepLines/>
              <w:spacing w:before="0" w:after="40" w:line="240" w:lineRule="auto"/>
            </w:pPr>
            <w:r>
              <w:rPr>
                <w:rFonts w:ascii="Arial" w:hAnsi="Arial"/>
                <w:b/>
                <w:color w:val="000000"/>
                <w:sz w:val="18"/>
              </w:rPr>
              <w:t>Service</w:t>
            </w:r>
          </w:p>
        </w:tc>
        <w:tc>
          <w:tcPr>
            <w:tcW w:type="dxa" w:w="4320"/>
            <w:tcMar>
              <w:top w:w="80" w:type="dxa"/>
              <w:start w:w="120" w:type="dxa"/>
              <w:bottom w:w="80" w:type="dxa"/>
              <w:end w:w="120" w:type="dxa"/>
            </w:tcMar>
            <w:vAlign w:val="center"/>
          </w:tcPr>
          <w:p>
            <w:pPr>
              <w:keepLines/>
              <w:spacing w:before="0" w:after="40" w:line="240" w:lineRule="auto"/>
            </w:pPr>
            <w:r>
              <w:rPr>
                <w:rFonts w:ascii="Arial" w:hAnsi="Arial"/>
                <w:b/>
                <w:color w:val="000000"/>
                <w:sz w:val="18"/>
              </w:rPr>
              <w:t>Image / role</w:t>
            </w:r>
          </w:p>
        </w:tc>
        <w:tc>
          <w:tcPr>
            <w:tcW w:type="dxa" w:w="3600"/>
            <w:tcMar>
              <w:top w:w="80" w:type="dxa"/>
              <w:start w:w="120" w:type="dxa"/>
              <w:bottom w:w="80" w:type="dxa"/>
              <w:end w:w="120" w:type="dxa"/>
            </w:tcMar>
            <w:vAlign w:val="center"/>
          </w:tcPr>
          <w:p>
            <w:pPr>
              <w:keepLines/>
              <w:spacing w:before="0" w:after="40" w:line="240" w:lineRule="auto"/>
            </w:pPr>
            <w:r>
              <w:rPr>
                <w:rFonts w:ascii="Arial" w:hAnsi="Arial"/>
                <w:b/>
                <w:color w:val="000000"/>
                <w:sz w:val="18"/>
              </w:rPr>
              <w:t>Persistence / health</w:t>
            </w:r>
          </w:p>
        </w:tc>
      </w:tr>
      <w:tr>
        <w:tc>
          <w:tcPr>
            <w:tcW w:type="dxa" w:w="144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app</w:t>
            </w:r>
          </w:p>
        </w:tc>
        <w:tc>
          <w:tcPr>
            <w:tcW w:type="dxa" w:w="432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Built PHP 8.3 FPM application image</w:t>
            </w:r>
          </w:p>
        </w:tc>
        <w:tc>
          <w:tcPr>
            <w:tcW w:type="dxa" w:w="360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aureuserp-storage; FPM ping health</w:t>
            </w:r>
          </w:p>
        </w:tc>
      </w:tr>
      <w:tr>
        <w:tc>
          <w:tcPr>
            <w:tcW w:type="dxa" w:w="144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nginx</w:t>
            </w:r>
          </w:p>
        </w:tc>
        <w:tc>
          <w:tcPr>
            <w:tcW w:type="dxa" w:w="432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Built Nginx 1.28-alpine web image</w:t>
            </w:r>
          </w:p>
        </w:tc>
        <w:tc>
          <w:tcPr>
            <w:tcW w:type="dxa" w:w="360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Read-only storage; /up health; host port 8080 default</w:t>
            </w:r>
          </w:p>
        </w:tc>
      </w:tr>
      <w:tr>
        <w:tc>
          <w:tcPr>
            <w:tcW w:type="dxa" w:w="144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queue</w:t>
            </w:r>
          </w:p>
        </w:tc>
        <w:tc>
          <w:tcPr>
            <w:tcW w:type="dxa" w:w="432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Same app image; queue:work</w:t>
            </w:r>
          </w:p>
        </w:tc>
        <w:tc>
          <w:tcPr>
            <w:tcW w:type="dxa" w:w="360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Database queue; graceful 5-minute stop</w:t>
            </w:r>
          </w:p>
        </w:tc>
      </w:tr>
      <w:tr>
        <w:tc>
          <w:tcPr>
            <w:tcW w:type="dxa" w:w="144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scheduler</w:t>
            </w:r>
          </w:p>
        </w:tc>
        <w:tc>
          <w:tcPr>
            <w:tcW w:type="dxa" w:w="432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Same app image; schedule:work</w:t>
            </w:r>
          </w:p>
        </w:tc>
        <w:tc>
          <w:tcPr>
            <w:tcW w:type="dxa" w:w="360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Database/application state; graceful stop</w:t>
            </w:r>
          </w:p>
        </w:tc>
      </w:tr>
      <w:tr>
        <w:tc>
          <w:tcPr>
            <w:tcW w:type="dxa" w:w="144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mysql</w:t>
            </w:r>
          </w:p>
        </w:tc>
        <w:tc>
          <w:tcPr>
            <w:tcW w:type="dxa" w:w="432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mysql:8.4</w:t>
            </w:r>
          </w:p>
        </w:tc>
        <w:tc>
          <w:tcPr>
            <w:tcW w:type="dxa" w:w="360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aureuserp-mysql; authenticated health; host loopback port 3307 default</w:t>
            </w:r>
          </w:p>
        </w:tc>
      </w:tr>
    </w:tbl>
    <w:p>
      <w:pPr>
        <w:spacing w:after="0"/>
      </w:pPr>
    </w:p>
    <w:p>
      <w:pPr>
        <w:pStyle w:val="ListBullet"/>
      </w:pPr>
      <w:r>
        <w:rPr>
          <w:rFonts w:ascii="Arial" w:hAnsi="Arial"/>
          <w:color w:val="000000"/>
          <w:sz w:val="22"/>
        </w:rPr>
        <w:t>Composer dependencies install after required PHP extensions exist; package discovery runs in the final application stage.</w:t>
      </w:r>
    </w:p>
    <w:p>
      <w:pPr>
        <w:pStyle w:val="ListBullet"/>
      </w:pPr>
      <w:r>
        <w:rPr>
          <w:rFonts w:ascii="Arial" w:hAnsi="Arial"/>
          <w:color w:val="000000"/>
          <w:sz w:val="22"/>
        </w:rPr>
        <w:t>Frontend assets are built with Node 22/Vite and copied into the web/application image targets.</w:t>
      </w:r>
    </w:p>
    <w:p>
      <w:pPr>
        <w:pStyle w:val="ListBullet"/>
      </w:pPr>
      <w:r>
        <w:rPr>
          <w:rFonts w:ascii="Arial" w:hAnsi="Arial"/>
          <w:color w:val="000000"/>
          <w:sz w:val="22"/>
        </w:rPr>
        <w:t>Container entrypoint sets safe permissions and starts only the requested process. It does not migrate, seed, install plugins, wipe, or synchronize permissions.</w:t>
      </w:r>
    </w:p>
    <w:p>
      <w:pPr>
        <w:pStyle w:val="ListBullet"/>
      </w:pPr>
      <w:r>
        <w:rPr>
          <w:rFonts w:ascii="Arial" w:hAnsi="Arial"/>
          <w:color w:val="000000"/>
          <w:sz w:val="22"/>
        </w:rPr>
        <w:t>Named volumes survive stop, down, rebuild, and ordinary recreation. Do not use down --volumes in routine operations.</w:t>
      </w:r>
    </w:p>
    <w:p>
      <w:pPr>
        <w:pStyle w:val="ListBullet"/>
      </w:pPr>
      <w:r>
        <w:rPr>
          <w:rFonts w:ascii="Arial" w:hAnsi="Arial"/>
          <w:color w:val="000000"/>
          <w:sz w:val="22"/>
        </w:rPr>
        <w:t>Redis is not included because actual configuration uses database cache, queue, and sessions.</w:t>
      </w:r>
    </w:p>
    <w:p>
      <w:bookmarkStart w:id="119" w:name="sec_docker_operating_commands"/>
      <w:pPr>
        <w:pStyle w:val="Heading1"/>
        <w:pageBreakBefore/>
      </w:pPr>
      <w:r>
        <w:t>Docker operating commands</w:t>
      </w:r>
      <w:bookmarkEnd w:id="119"/>
    </w:p>
    <w:p>
      <w:bookmarkStart w:id="120" w:name="sec_initial_setup"/>
      <w:pPr>
        <w:pStyle w:val="Heading2"/>
      </w:pPr>
      <w:r>
        <w:t>Initial setup</w:t>
      </w:r>
      <w:bookmarkEnd w:id="120"/>
    </w:p>
    <w:p>
      <w:pPr>
        <w:spacing w:after="40"/>
        <w:ind w:left="360"/>
      </w:pPr>
      <w:r>
        <w:rPr>
          <w:rFonts w:ascii="Consolas" w:hAnsi="Consolas"/>
          <w:color w:val="000000"/>
          <w:sz w:val="18"/>
        </w:rPr>
        <w:t>powershell -ExecutionPolicy Bypass -File .\docker\setup-env.ps1</w:t>
      </w:r>
    </w:p>
    <w:p>
      <w:pPr>
        <w:spacing w:after="40"/>
        <w:ind w:left="360"/>
      </w:pPr>
      <w:r>
        <w:rPr>
          <w:rFonts w:ascii="Consolas" w:hAnsi="Consolas"/>
          <w:color w:val="000000"/>
          <w:sz w:val="18"/>
        </w:rPr>
        <w:t>docker compose build</w:t>
      </w:r>
    </w:p>
    <w:p>
      <w:pPr>
        <w:spacing w:after="40"/>
        <w:ind w:left="360"/>
      </w:pPr>
      <w:r>
        <w:rPr>
          <w:rFonts w:ascii="Consolas" w:hAnsi="Consolas"/>
          <w:color w:val="000000"/>
          <w:sz w:val="18"/>
        </w:rPr>
        <w:t>docker compose up -d</w:t>
      </w:r>
    </w:p>
    <w:p>
      <w:pPr>
        <w:spacing w:after="40"/>
        <w:ind w:left="360"/>
      </w:pPr>
      <w:r>
        <w:rPr>
          <w:rFonts w:ascii="Consolas" w:hAnsi="Consolas"/>
          <w:color w:val="000000"/>
          <w:sz w:val="18"/>
        </w:rPr>
        <w:t>docker compose exec app php artisan migrate --force</w:t>
      </w:r>
    </w:p>
    <w:p>
      <w:pPr>
        <w:spacing w:after="40"/>
        <w:ind w:left="360"/>
      </w:pPr>
      <w:r>
        <w:rPr>
          <w:rFonts w:ascii="Consolas" w:hAnsi="Consolas"/>
          <w:color w:val="000000"/>
          <w:sz w:val="18"/>
        </w:rPr>
        <w:t>docker compose exec app php artisan db:seed --force</w:t>
      </w:r>
    </w:p>
    <w:p>
      <w:pPr>
        <w:spacing w:after="40"/>
        <w:ind w:left="360"/>
      </w:pPr>
      <w:r>
        <w:rPr>
          <w:rFonts w:ascii="Consolas" w:hAnsi="Consolas"/>
          <w:color w:val="000000"/>
          <w:sz w:val="18"/>
        </w:rPr>
        <w:t>docker compose exec app php artisan accounting:sync-permissions</w:t>
      </w:r>
    </w:p>
    <w:p>
      <w:pPr>
        <w:spacing w:after="40"/>
        <w:ind w:left="360"/>
      </w:pPr>
      <w:r>
        <w:rPr>
          <w:rFonts w:ascii="Consolas" w:hAnsi="Consolas"/>
          <w:color w:val="000000"/>
          <w:sz w:val="18"/>
        </w:rPr>
        <w:t>docker compose exec app php artisan hr:sync-permissions</w:t>
      </w:r>
    </w:p>
    <w:p>
      <w:pPr>
        <w:spacing w:after="40"/>
        <w:ind w:left="360"/>
      </w:pPr>
      <w:r>
        <w:rPr>
          <w:rFonts w:ascii="Consolas" w:hAnsi="Consolas"/>
          <w:color w:val="000000"/>
          <w:sz w:val="18"/>
        </w:rPr>
        <w:t>docker compose exec app php artisan erp:doctor</w:t>
      </w:r>
    </w:p>
    <w:p>
      <w:bookmarkStart w:id="121" w:name="sec_stop_start_rebuild_and_inspect"/>
      <w:pPr>
        <w:pStyle w:val="Heading2"/>
      </w:pPr>
      <w:r>
        <w:t>Stop, start, rebuild, and inspect</w:t>
      </w:r>
      <w:bookmarkEnd w:id="121"/>
    </w:p>
    <w:p>
      <w:pPr>
        <w:spacing w:after="40"/>
        <w:ind w:left="360"/>
      </w:pPr>
      <w:r>
        <w:rPr>
          <w:rFonts w:ascii="Consolas" w:hAnsi="Consolas"/>
          <w:color w:val="000000"/>
          <w:sz w:val="18"/>
        </w:rPr>
        <w:t>docker compose stop</w:t>
      </w:r>
    </w:p>
    <w:p>
      <w:pPr>
        <w:spacing w:after="40"/>
        <w:ind w:left="360"/>
      </w:pPr>
      <w:r>
        <w:rPr>
          <w:rFonts w:ascii="Consolas" w:hAnsi="Consolas"/>
          <w:color w:val="000000"/>
          <w:sz w:val="18"/>
        </w:rPr>
        <w:t>docker compose start</w:t>
      </w:r>
    </w:p>
    <w:p>
      <w:pPr>
        <w:spacing w:after="40"/>
        <w:ind w:left="360"/>
      </w:pPr>
      <w:r>
        <w:rPr>
          <w:rFonts w:ascii="Consolas" w:hAnsi="Consolas"/>
          <w:color w:val="000000"/>
          <w:sz w:val="18"/>
        </w:rPr>
        <w:t>docker compose build</w:t>
      </w:r>
    </w:p>
    <w:p>
      <w:pPr>
        <w:spacing w:after="40"/>
        <w:ind w:left="360"/>
      </w:pPr>
      <w:r>
        <w:rPr>
          <w:rFonts w:ascii="Consolas" w:hAnsi="Consolas"/>
          <w:color w:val="000000"/>
          <w:sz w:val="18"/>
        </w:rPr>
        <w:t>docker compose up -d --force-recreate</w:t>
      </w:r>
    </w:p>
    <w:p>
      <w:pPr>
        <w:spacing w:after="40"/>
        <w:ind w:left="360"/>
      </w:pPr>
      <w:r>
        <w:rPr>
          <w:rFonts w:ascii="Consolas" w:hAnsi="Consolas"/>
          <w:color w:val="000000"/>
          <w:sz w:val="18"/>
        </w:rPr>
        <w:t>docker compose ps</w:t>
      </w:r>
    </w:p>
    <w:p>
      <w:pPr>
        <w:spacing w:after="40"/>
        <w:ind w:left="360"/>
      </w:pPr>
      <w:r>
        <w:rPr>
          <w:rFonts w:ascii="Consolas" w:hAnsi="Consolas"/>
          <w:color w:val="000000"/>
          <w:sz w:val="18"/>
        </w:rPr>
        <w:t>docker compose logs --tail=200 app nginx queue scheduler mysql</w:t>
      </w:r>
    </w:p>
    <w:p>
      <w:pPr>
        <w:spacing w:after="40"/>
        <w:ind w:left="360"/>
      </w:pPr>
      <w:r>
        <w:rPr>
          <w:rFonts w:ascii="Consolas" w:hAnsi="Consolas"/>
          <w:color w:val="000000"/>
          <w:sz w:val="18"/>
        </w:rPr>
        <w:t>docker compose exec app php artisan migrate:status</w:t>
      </w:r>
    </w:p>
    <w:p>
      <w:pPr>
        <w:spacing w:after="40"/>
        <w:ind w:left="360"/>
      </w:pPr>
      <w:r>
        <w:rPr>
          <w:rFonts w:ascii="Consolas" w:hAnsi="Consolas"/>
          <w:color w:val="000000"/>
          <w:sz w:val="18"/>
        </w:rPr>
        <w:t>docker compose exec app php artisan erp:doctor</w:t>
      </w:r>
    </w:p>
    <w:p>
      <w:bookmarkStart w:id="122" w:name="sec_safe_upgrade"/>
      <w:pPr>
        <w:pStyle w:val="Heading2"/>
      </w:pPr>
      <w:r>
        <w:t>Safe upgrade</w:t>
      </w:r>
      <w:bookmarkEnd w:id="122"/>
    </w:p>
    <w:p>
      <w:pPr>
        <w:spacing w:after="40"/>
        <w:ind w:left="360"/>
      </w:pPr>
      <w:r>
        <w:rPr>
          <w:rFonts w:ascii="Consolas" w:hAnsi="Consolas"/>
          <w:color w:val="000000"/>
          <w:sz w:val="18"/>
        </w:rPr>
        <w:t>docker compose build</w:t>
      </w:r>
    </w:p>
    <w:p>
      <w:pPr>
        <w:spacing w:after="40"/>
        <w:ind w:left="360"/>
      </w:pPr>
      <w:r>
        <w:rPr>
          <w:rFonts w:ascii="Consolas" w:hAnsi="Consolas"/>
          <w:color w:val="000000"/>
          <w:sz w:val="18"/>
        </w:rPr>
        <w:t>docker compose stop nginx queue scheduler</w:t>
      </w:r>
    </w:p>
    <w:p>
      <w:pPr>
        <w:spacing w:after="40"/>
        <w:ind w:left="360"/>
      </w:pPr>
      <w:r>
        <w:rPr>
          <w:rFonts w:ascii="Consolas" w:hAnsi="Consolas"/>
          <w:color w:val="000000"/>
          <w:sz w:val="18"/>
        </w:rPr>
        <w:t>docker compose up -d mysql app</w:t>
      </w:r>
    </w:p>
    <w:p>
      <w:pPr>
        <w:spacing w:after="40"/>
        <w:ind w:left="360"/>
      </w:pPr>
      <w:r>
        <w:rPr>
          <w:rFonts w:ascii="Consolas" w:hAnsi="Consolas"/>
          <w:color w:val="000000"/>
          <w:sz w:val="18"/>
        </w:rPr>
        <w:t>docker compose exec app php artisan migrate --force</w:t>
      </w:r>
    </w:p>
    <w:p>
      <w:pPr>
        <w:spacing w:after="40"/>
        <w:ind w:left="360"/>
      </w:pPr>
      <w:r>
        <w:rPr>
          <w:rFonts w:ascii="Consolas" w:hAnsi="Consolas"/>
          <w:color w:val="000000"/>
          <w:sz w:val="18"/>
        </w:rPr>
        <w:t>docker compose up -d nginx queue scheduler</w:t>
      </w:r>
    </w:p>
    <w:p>
      <w:pPr>
        <w:spacing w:after="40"/>
        <w:ind w:left="360"/>
      </w:pPr>
      <w:r>
        <w:rPr>
          <w:rFonts w:ascii="Consolas" w:hAnsi="Consolas"/>
          <w:color w:val="000000"/>
          <w:sz w:val="18"/>
        </w:rPr>
        <w:t>docker compose exec app php artisan erp:doctor</w:t>
      </w:r>
    </w:p>
    <w:p>
      <w:bookmarkStart w:id="123" w:name="sec_aws_network_https_and_persistence_"/>
      <w:pPr>
        <w:pStyle w:val="Heading1"/>
        <w:pageBreakBefore/>
      </w:pPr>
      <w:r>
        <w:t>AWS, network, HTTPS, and persistence requirements</w:t>
      </w:r>
      <w:bookmarkEnd w:id="123"/>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584"/>
        <w:gridCol w:w="4176"/>
        <w:gridCol w:w="3600"/>
      </w:tblGrid>
      <w:tr>
        <w:trPr>
          <w:tblHeader w:val="true"/>
        </w:trPr>
        <w:tc>
          <w:tcPr>
            <w:tcW w:type="dxa" w:w="1584"/>
            <w:tcMar>
              <w:top w:w="80" w:type="dxa"/>
              <w:start w:w="120" w:type="dxa"/>
              <w:bottom w:w="80" w:type="dxa"/>
              <w:end w:w="120" w:type="dxa"/>
            </w:tcMar>
            <w:vAlign w:val="center"/>
          </w:tcPr>
          <w:p>
            <w:pPr>
              <w:keepLines/>
              <w:spacing w:before="0" w:after="40" w:line="240" w:lineRule="auto"/>
            </w:pPr>
            <w:r>
              <w:rPr>
                <w:rFonts w:ascii="Arial" w:hAnsi="Arial"/>
                <w:b/>
                <w:color w:val="000000"/>
                <w:sz w:val="18"/>
              </w:rPr>
              <w:t>Area</w:t>
            </w:r>
          </w:p>
        </w:tc>
        <w:tc>
          <w:tcPr>
            <w:tcW w:type="dxa" w:w="4176"/>
            <w:tcMar>
              <w:top w:w="80" w:type="dxa"/>
              <w:start w:w="120" w:type="dxa"/>
              <w:bottom w:w="80" w:type="dxa"/>
              <w:end w:w="120" w:type="dxa"/>
            </w:tcMar>
            <w:vAlign w:val="center"/>
          </w:tcPr>
          <w:p>
            <w:pPr>
              <w:keepLines/>
              <w:spacing w:before="0" w:after="40" w:line="240" w:lineRule="auto"/>
            </w:pPr>
            <w:r>
              <w:rPr>
                <w:rFonts w:ascii="Arial" w:hAnsi="Arial"/>
                <w:b/>
                <w:color w:val="000000"/>
                <w:sz w:val="18"/>
              </w:rPr>
              <w:t>Actual requirement</w:t>
            </w:r>
          </w:p>
        </w:tc>
        <w:tc>
          <w:tcPr>
            <w:tcW w:type="dxa" w:w="3600"/>
            <w:tcMar>
              <w:top w:w="80" w:type="dxa"/>
              <w:start w:w="120" w:type="dxa"/>
              <w:bottom w:w="80" w:type="dxa"/>
              <w:end w:w="120" w:type="dxa"/>
            </w:tcMar>
            <w:vAlign w:val="center"/>
          </w:tcPr>
          <w:p>
            <w:pPr>
              <w:keepLines/>
              <w:spacing w:before="0" w:after="40" w:line="240" w:lineRule="auto"/>
            </w:pPr>
            <w:r>
              <w:rPr>
                <w:rFonts w:ascii="Arial" w:hAnsi="Arial"/>
                <w:b/>
                <w:color w:val="000000"/>
                <w:sz w:val="18"/>
              </w:rPr>
              <w:t>Recommendation</w:t>
            </w:r>
          </w:p>
        </w:tc>
      </w:tr>
      <w:tr>
        <w:tc>
          <w:tcPr>
            <w:tcW w:type="dxa" w:w="158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Compute</w:t>
            </w:r>
          </w:p>
        </w:tc>
        <w:tc>
          <w:tcPr>
            <w:tcW w:type="dxa" w:w="417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Docker Compose-capable Linux host or equivalent container service</w:t>
            </w:r>
          </w:p>
        </w:tc>
        <w:tc>
          <w:tcPr>
            <w:tcW w:type="dxa" w:w="360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EC2 Compose for simple deployment; ECS when operational maturity justifies it</w:t>
            </w:r>
          </w:p>
        </w:tc>
      </w:tr>
      <w:tr>
        <w:tc>
          <w:tcPr>
            <w:tcW w:type="dxa" w:w="158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Database</w:t>
            </w:r>
          </w:p>
        </w:tc>
        <w:tc>
          <w:tcPr>
            <w:tcW w:type="dxa" w:w="417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Persistent MySQL-compatible service and verified backups</w:t>
            </w:r>
          </w:p>
        </w:tc>
        <w:tc>
          <w:tcPr>
            <w:tcW w:type="dxa" w:w="360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Use managed RDS for production where budget/operations allow</w:t>
            </w:r>
          </w:p>
        </w:tc>
      </w:tr>
      <w:tr>
        <w:tc>
          <w:tcPr>
            <w:tcW w:type="dxa" w:w="158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Storage</w:t>
            </w:r>
          </w:p>
        </w:tc>
        <w:tc>
          <w:tcPr>
            <w:tcW w:type="dxa" w:w="417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Persistent Laravel storage for uploads/generated files</w:t>
            </w:r>
          </w:p>
        </w:tc>
        <w:tc>
          <w:tcPr>
            <w:tcW w:type="dxa" w:w="360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Back up named volume; move to managed shared/object storage only after application-level validation</w:t>
            </w:r>
          </w:p>
        </w:tc>
      </w:tr>
      <w:tr>
        <w:tc>
          <w:tcPr>
            <w:tcW w:type="dxa" w:w="158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Web</w:t>
            </w:r>
          </w:p>
        </w:tc>
        <w:tc>
          <w:tcPr>
            <w:tcW w:type="dxa" w:w="417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Expose Nginx HTTP internally/publicly as designed</w:t>
            </w:r>
          </w:p>
        </w:tc>
        <w:tc>
          <w:tcPr>
            <w:tcW w:type="dxa" w:w="360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Terminate TLS at ALB/CloudFront/reverse proxy</w:t>
            </w:r>
          </w:p>
        </w:tc>
      </w:tr>
      <w:tr>
        <w:tc>
          <w:tcPr>
            <w:tcW w:type="dxa" w:w="158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MySQL network</w:t>
            </w:r>
          </w:p>
        </w:tc>
        <w:tc>
          <w:tcPr>
            <w:tcW w:type="dxa" w:w="417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Not public; Compose binds host loopback 127.0.0.1:3307</w:t>
            </w:r>
          </w:p>
        </w:tc>
        <w:tc>
          <w:tcPr>
            <w:tcW w:type="dxa" w:w="360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Use private subnets/security groups for managed DB</w:t>
            </w:r>
          </w:p>
        </w:tc>
      </w:tr>
      <w:tr>
        <w:tc>
          <w:tcPr>
            <w:tcW w:type="dxa" w:w="158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HTTPS</w:t>
            </w:r>
          </w:p>
        </w:tc>
        <w:tc>
          <w:tcPr>
            <w:tcW w:type="dxa" w:w="417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Correct APP_URL plus FORCE_HTTPS/session cookie flags and forwarded headers</w:t>
            </w:r>
          </w:p>
        </w:tc>
        <w:tc>
          <w:tcPr>
            <w:tcW w:type="dxa" w:w="360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Managed certificate and load-balancer health checks</w:t>
            </w:r>
          </w:p>
        </w:tc>
      </w:tr>
      <w:tr>
        <w:tc>
          <w:tcPr>
            <w:tcW w:type="dxa" w:w="158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Queue/scheduler</w:t>
            </w:r>
          </w:p>
        </w:tc>
        <w:tc>
          <w:tcPr>
            <w:tcW w:type="dxa" w:w="417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Exactly one or more controlled workers and scheduler process</w:t>
            </w:r>
          </w:p>
        </w:tc>
        <w:tc>
          <w:tcPr>
            <w:tcW w:type="dxa" w:w="360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Monitor failures/backlog; scale worker only after workload evidence</w:t>
            </w:r>
          </w:p>
        </w:tc>
      </w:tr>
    </w:tbl>
    <w:p>
      <w:pPr>
        <w:spacing w:after="0"/>
      </w:pPr>
    </w:p>
    <w:p>
      <w:r>
        <w:rPr>
          <w:rFonts w:ascii="Arial" w:hAnsi="Arial"/>
          <w:color w:val="000000"/>
          <w:sz w:val="22"/>
        </w:rPr>
        <w:t>No evidence-based CPU, memory, IOPS, or replica count was available, so this handover does not invent capacity numbers. Establish them from observed production traffic, queue depth, import sizes, report latency, storage growth, and recovery objectives.</w:t>
      </w:r>
    </w:p>
    <w:p>
      <w:bookmarkStart w:id="124" w:name="sec_backup_restore_and_operational_mai"/>
      <w:pPr>
        <w:pStyle w:val="Heading1"/>
        <w:pageBreakBefore/>
      </w:pPr>
      <w:r>
        <w:t>Backup, restore, and operational maintenance</w:t>
      </w:r>
      <w:bookmarkEnd w:id="124"/>
    </w:p>
    <w:p>
      <w:bookmarkStart w:id="125" w:name="sec_database_backup"/>
      <w:pPr>
        <w:pStyle w:val="Heading2"/>
      </w:pPr>
      <w:r>
        <w:t>Database backup</w:t>
      </w:r>
      <w:bookmarkEnd w:id="125"/>
    </w:p>
    <w:p>
      <w:pPr>
        <w:spacing w:after="40"/>
        <w:ind w:left="360"/>
      </w:pPr>
      <w:r>
        <w:rPr>
          <w:rFonts w:ascii="Consolas" w:hAnsi="Consolas"/>
          <w:color w:val="000000"/>
          <w:sz w:val="18"/>
        </w:rPr>
        <w:t>docker compose exec mysql sh -lc 'exec mysqldump -u"$MYSQL_USER" -p"$MYSQL_PASSWORD" --single-transaction --routines --triggers "$MYSQL_DATABASE" &gt; /tmp/aureuserp-backup.sql'</w:t>
      </w:r>
    </w:p>
    <w:p>
      <w:pPr>
        <w:spacing w:after="40"/>
        <w:ind w:left="360"/>
      </w:pPr>
      <w:r>
        <w:rPr>
          <w:rFonts w:ascii="Consolas" w:hAnsi="Consolas"/>
          <w:color w:val="000000"/>
          <w:sz w:val="18"/>
        </w:rPr>
        <w:t>docker compose cp mysql:/tmp/aureuserp-backup.sql .\aureuserp-backup.sql</w:t>
      </w:r>
    </w:p>
    <w:p>
      <w:pPr>
        <w:spacing w:after="40"/>
        <w:ind w:left="360"/>
      </w:pPr>
      <w:r>
        <w:rPr>
          <w:rFonts w:ascii="Consolas" w:hAnsi="Consolas"/>
          <w:color w:val="000000"/>
          <w:sz w:val="18"/>
        </w:rPr>
        <w:t>docker compose exec mysql rm -f /tmp/aureuserp-backup.sql</w:t>
      </w:r>
    </w:p>
    <w:p>
      <w:bookmarkStart w:id="126" w:name="sec_storage_backup"/>
      <w:pPr>
        <w:pStyle w:val="Heading2"/>
      </w:pPr>
      <w:r>
        <w:t>Storage backup</w:t>
      </w:r>
      <w:bookmarkEnd w:id="126"/>
    </w:p>
    <w:p>
      <w:pPr>
        <w:spacing w:after="40"/>
        <w:ind w:left="360"/>
      </w:pPr>
      <w:r>
        <w:rPr>
          <w:rFonts w:ascii="Consolas" w:hAnsi="Consolas"/>
          <w:color w:val="000000"/>
          <w:sz w:val="18"/>
        </w:rPr>
        <w:t>docker run --rm -v aureuserp-storage:/source:ro -v ${PWD}:/backup alpine sh -c "cd /source &amp;&amp; tar czf /backup/aureuserp-storage.tar.gz ."</w:t>
      </w:r>
    </w:p>
    <w:p>
      <w:pPr>
        <w:pStyle w:val="ListBullet"/>
      </w:pPr>
      <w:r>
        <w:rPr>
          <w:rFonts w:ascii="Arial" w:hAnsi="Arial"/>
          <w:color w:val="000000"/>
          <w:sz w:val="22"/>
        </w:rPr>
        <w:t>Encrypt and move backups to a restricted off-host location. Root SQL files are ignored by Git but must not remain in the repository.</w:t>
      </w:r>
    </w:p>
    <w:p>
      <w:pPr>
        <w:pStyle w:val="ListBullet"/>
      </w:pPr>
      <w:r>
        <w:rPr>
          <w:rFonts w:ascii="Arial" w:hAnsi="Arial"/>
          <w:color w:val="000000"/>
          <w:sz w:val="22"/>
        </w:rPr>
        <w:t>Verify database dump and storage archive sizes/checksums; perform periodic isolated restore drills.</w:t>
      </w:r>
    </w:p>
    <w:p>
      <w:pPr>
        <w:pStyle w:val="ListBullet"/>
      </w:pPr>
      <w:r>
        <w:rPr>
          <w:rFonts w:ascii="Arial" w:hAnsi="Arial"/>
          <w:color w:val="000000"/>
          <w:sz w:val="22"/>
        </w:rPr>
        <w:t>Before upgrade: backup DB and storage, record image/commit, inspect migrations, stop traffic/workers, migrate forward, restart, run ERP Doctor and reconciliation.</w:t>
      </w:r>
    </w:p>
    <w:p>
      <w:pPr>
        <w:pStyle w:val="ListBullet"/>
      </w:pPr>
      <w:r>
        <w:rPr>
          <w:rFonts w:ascii="Arial" w:hAnsi="Arial"/>
          <w:color w:val="000000"/>
          <w:sz w:val="22"/>
        </w:rPr>
        <w:t>Monitor web/app/queue/scheduler/MySQL logs, queue failures, disk/volume usage, certificate expiry, backup completion, and DB health.</w:t>
      </w:r>
    </w:p>
    <w:p>
      <w:pPr>
        <w:pStyle w:val="ListBullet"/>
      </w:pPr>
      <w:r>
        <w:rPr>
          <w:rFonts w:ascii="Arial" w:hAnsi="Arial"/>
          <w:color w:val="000000"/>
          <w:sz w:val="22"/>
        </w:rPr>
        <w:t>Restore only to the intended database during a controlled outage. Never seed a restored production database.</w:t>
      </w:r>
    </w:p>
    <w:p>
      <w:bookmarkStart w:id="127" w:name="sec_development_workflow_with_graphify"/>
      <w:pPr>
        <w:pStyle w:val="Heading1"/>
        <w:pageBreakBefore/>
      </w:pPr>
      <w:r>
        <w:t>Development workflow with Graphify and Boost</w:t>
      </w:r>
      <w:bookmarkEnd w:id="127"/>
    </w:p>
    <w:p>
      <w:r>
        <w:rPr>
          <w:rFonts w:ascii="Arial" w:hAnsi="Arial"/>
          <w:color w:val="000000"/>
          <w:sz w:val="22"/>
        </w:rPr>
        <w:t>The repository includes a code-only Graphify knowledge graph under graphify-out. The final update contained 34,051 nodes and 78,868 edges. Use focused Graphify queries for topology and relationships; treat source code and runtime schema as authoritative when they disagree. Laravel Boost is the version-aware Laravel inspection/documentation path when its tools are available.</w:t>
      </w:r>
    </w:p>
    <w:p>
      <w:pPr>
        <w:spacing w:after="40"/>
        <w:ind w:left="360"/>
      </w:pPr>
      <w:r>
        <w:rPr>
          <w:rFonts w:ascii="Consolas" w:hAnsi="Consolas"/>
          <w:color w:val="000000"/>
          <w:sz w:val="18"/>
        </w:rPr>
        <w:t>graphify query "How are bank statement imports connected to transaction mappings?"</w:t>
      </w:r>
    </w:p>
    <w:p>
      <w:pPr>
        <w:spacing w:after="40"/>
        <w:ind w:left="360"/>
      </w:pPr>
      <w:r>
        <w:rPr>
          <w:rFonts w:ascii="Consolas" w:hAnsi="Consolas"/>
          <w:color w:val="000000"/>
          <w:sz w:val="18"/>
        </w:rPr>
        <w:t>graphify path "BankStatementImportService" "BankTransactionMapping"</w:t>
      </w:r>
    </w:p>
    <w:p>
      <w:pPr>
        <w:spacing w:after="40"/>
        <w:ind w:left="360"/>
      </w:pPr>
      <w:r>
        <w:rPr>
          <w:rFonts w:ascii="Consolas" w:hAnsi="Consolas"/>
          <w:color w:val="000000"/>
          <w:sz w:val="18"/>
        </w:rPr>
        <w:t>graphify explain "transaction mapping"</w:t>
      </w:r>
    </w:p>
    <w:p>
      <w:pPr>
        <w:spacing w:after="40"/>
        <w:ind w:left="360"/>
      </w:pPr>
      <w:r>
        <w:rPr>
          <w:rFonts w:ascii="Consolas" w:hAnsi="Consolas"/>
          <w:color w:val="000000"/>
          <w:sz w:val="18"/>
        </w:rPr>
        <w:t>graphify . --update --code-only</w:t>
      </w:r>
    </w:p>
    <w:p>
      <w:pPr>
        <w:pStyle w:val="ListBullet"/>
      </w:pPr>
      <w:r>
        <w:rPr>
          <w:rFonts w:ascii="Arial" w:hAnsi="Arial"/>
          <w:color w:val="000000"/>
          <w:sz w:val="22"/>
        </w:rPr>
        <w:t>Before architectural work: query Graphify, inspect source/schema/models/services/resources/tests, and check upstream/downstream company/accounting effects.</w:t>
      </w:r>
    </w:p>
    <w:p>
      <w:pPr>
        <w:pStyle w:val="ListBullet"/>
      </w:pPr>
      <w:r>
        <w:rPr>
          <w:rFonts w:ascii="Arial" w:hAnsi="Arial"/>
          <w:color w:val="000000"/>
          <w:sz w:val="22"/>
        </w:rPr>
        <w:t>Before version-sensitive Laravel, Filament, Livewire, Pest, or Tailwind decisions: inspect lock files and use Boost search documentation when available.</w:t>
      </w:r>
    </w:p>
    <w:p>
      <w:pPr>
        <w:pStyle w:val="ListBullet"/>
      </w:pPr>
      <w:r>
        <w:rPr>
          <w:rFonts w:ascii="Arial" w:hAnsi="Arial"/>
          <w:color w:val="000000"/>
          <w:sz w:val="22"/>
        </w:rPr>
        <w:t>After meaningful source changes: run narrow tests, relevant module tests, Pint on changed PHP, update Graphify code-only, re-query affected paths, inspect final diff.</w:t>
      </w:r>
    </w:p>
    <w:p>
      <w:pPr>
        <w:pStyle w:val="ListBullet"/>
      </w:pPr>
      <w:r>
        <w:rPr>
          <w:rFonts w:ascii="Arial" w:hAnsi="Arial"/>
          <w:color w:val="000000"/>
          <w:sz w:val="22"/>
        </w:rPr>
        <w:t>Do not commit generated Graphify output unless repository policy explicitly requires it.</w:t>
      </w:r>
    </w:p>
    <w:p>
      <w:bookmarkStart w:id="128" w:name="sec_making_future_changes_safely"/>
      <w:pPr>
        <w:pStyle w:val="Heading1"/>
        <w:pageBreakBefore/>
      </w:pPr>
      <w:r>
        <w:t>Making future changes safely</w:t>
      </w:r>
      <w:bookmarkEnd w:id="128"/>
    </w:p>
    <w:p>
      <w:pPr>
        <w:pStyle w:val="ListNumber"/>
      </w:pPr>
      <w:r>
        <w:rPr>
          <w:rFonts w:ascii="Arial" w:hAnsi="Arial"/>
          <w:color w:val="000000"/>
          <w:sz w:val="22"/>
        </w:rPr>
        <w:t>Classify the request against existing modules; do not create a parallel Accounting, HR, approval, import, customer/vendor, invoice, or report system.</w:t>
      </w:r>
    </w:p>
    <w:p>
      <w:pPr>
        <w:pStyle w:val="ListNumber"/>
      </w:pPr>
      <w:r>
        <w:rPr>
          <w:rFonts w:ascii="Arial" w:hAnsi="Arial"/>
          <w:color w:val="000000"/>
          <w:sz w:val="22"/>
        </w:rPr>
        <w:t>Trace the complete workflow and identify company, currency, authorization, audit, posting, reconciliation, and reporting consequences.</w:t>
      </w:r>
    </w:p>
    <w:p>
      <w:pPr>
        <w:pStyle w:val="ListNumber"/>
      </w:pPr>
      <w:r>
        <w:rPr>
          <w:rFonts w:ascii="Arial" w:hAnsi="Arial"/>
          <w:color w:val="000000"/>
          <w:sz w:val="22"/>
        </w:rPr>
        <w:t>Inspect schema and relationships before migrations; preserve existing column attributes and historical records.</w:t>
      </w:r>
    </w:p>
    <w:p>
      <w:pPr>
        <w:pStyle w:val="ListNumber"/>
      </w:pPr>
      <w:r>
        <w:rPr>
          <w:rFonts w:ascii="Arial" w:hAnsi="Arial"/>
          <w:color w:val="000000"/>
          <w:sz w:val="22"/>
        </w:rPr>
        <w:t>Implement domain validation in services/policies, not only UI visibility; validate every record in bulk operations.</w:t>
      </w:r>
    </w:p>
    <w:p>
      <w:pPr>
        <w:pStyle w:val="ListNumber"/>
      </w:pPr>
      <w:r>
        <w:rPr>
          <w:rFonts w:ascii="Arial" w:hAnsi="Arial"/>
          <w:color w:val="000000"/>
          <w:sz w:val="22"/>
        </w:rPr>
        <w:t>Add focused Pest regression tests; run the narrowest tests first, then affected modules and integration suites.</w:t>
      </w:r>
    </w:p>
    <w:p>
      <w:pPr>
        <w:pStyle w:val="ListNumber"/>
      </w:pPr>
      <w:r>
        <w:rPr>
          <w:rFonts w:ascii="Arial" w:hAnsi="Arial"/>
          <w:color w:val="000000"/>
          <w:sz w:val="22"/>
        </w:rPr>
        <w:t>Run Pint only on changed PHP and git diff --check; scan for secrets, dumps, logs, backups, private customer/bank files, and generated runtime files.</w:t>
      </w:r>
    </w:p>
    <w:p>
      <w:pPr>
        <w:pStyle w:val="ListNumber"/>
      </w:pPr>
      <w:r>
        <w:rPr>
          <w:rFonts w:ascii="Arial" w:hAnsi="Arial"/>
          <w:color w:val="000000"/>
          <w:sz w:val="22"/>
        </w:rPr>
        <w:t>Take verified database/storage backups before production migration; use forward-only migration and explicit rollback/recovery plans.</w:t>
      </w:r>
    </w:p>
    <w:p>
      <w:pPr>
        <w:pStyle w:val="ListNumber"/>
      </w:pPr>
      <w:r>
        <w:rPr>
          <w:rFonts w:ascii="Arial" w:hAnsi="Arial"/>
          <w:color w:val="000000"/>
          <w:sz w:val="22"/>
        </w:rPr>
        <w:t>Update Graphify code-only and review dependency changes before commit. Never force-push the established branches.</w:t>
      </w:r>
    </w:p>
    <w:p>
      <w:bookmarkStart w:id="129" w:name="sec_tests_and_verification"/>
      <w:pPr>
        <w:pStyle w:val="Heading1"/>
        <w:pageBreakBefore/>
      </w:pPr>
      <w:r>
        <w:t>Tests and verification</w:t>
      </w:r>
      <w:bookmarkEnd w:id="129"/>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168"/>
        <w:gridCol w:w="6192"/>
      </w:tblGrid>
      <w:tr>
        <w:trPr>
          <w:tblHeader w:val="true"/>
        </w:trPr>
        <w:tc>
          <w:tcPr>
            <w:tcW w:type="dxa" w:w="3168"/>
            <w:tcMar>
              <w:top w:w="80" w:type="dxa"/>
              <w:start w:w="120" w:type="dxa"/>
              <w:bottom w:w="80" w:type="dxa"/>
              <w:end w:w="120" w:type="dxa"/>
            </w:tcMar>
            <w:vAlign w:val="center"/>
          </w:tcPr>
          <w:p>
            <w:pPr>
              <w:keepLines/>
              <w:spacing w:before="0" w:after="40" w:line="240" w:lineRule="auto"/>
            </w:pPr>
            <w:r>
              <w:rPr>
                <w:rFonts w:ascii="Arial" w:hAnsi="Arial"/>
                <w:b/>
                <w:color w:val="000000"/>
                <w:sz w:val="18"/>
              </w:rPr>
              <w:t>Verification</w:t>
            </w:r>
          </w:p>
        </w:tc>
        <w:tc>
          <w:tcPr>
            <w:tcW w:type="dxa" w:w="6192"/>
            <w:tcMar>
              <w:top w:w="80" w:type="dxa"/>
              <w:start w:w="120" w:type="dxa"/>
              <w:bottom w:w="80" w:type="dxa"/>
              <w:end w:w="120" w:type="dxa"/>
            </w:tcMar>
            <w:vAlign w:val="center"/>
          </w:tcPr>
          <w:p>
            <w:pPr>
              <w:keepLines/>
              <w:spacing w:before="0" w:after="40" w:line="240" w:lineRule="auto"/>
            </w:pPr>
            <w:r>
              <w:rPr>
                <w:rFonts w:ascii="Arial" w:hAnsi="Arial"/>
                <w:b/>
                <w:color w:val="000000"/>
                <w:sz w:val="18"/>
              </w:rPr>
              <w:t>Result</w:t>
            </w:r>
          </w:p>
        </w:tc>
      </w:tr>
      <w:tr>
        <w:tc>
          <w:tcPr>
            <w:tcW w:type="dxa" w:w="3168"/>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Accounting module</w:t>
            </w:r>
          </w:p>
        </w:tc>
        <w:tc>
          <w:tcPr>
            <w:tcW w:type="dxa" w:w="6192"/>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150 passed / 982 assertions</w:t>
            </w:r>
          </w:p>
        </w:tc>
      </w:tr>
      <w:tr>
        <w:tc>
          <w:tcPr>
            <w:tcW w:type="dxa" w:w="3168"/>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Accounts module</w:t>
            </w:r>
          </w:p>
        </w:tc>
        <w:tc>
          <w:tcPr>
            <w:tcW w:type="dxa" w:w="6192"/>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479 passed / 1,317 assertions</w:t>
            </w:r>
          </w:p>
        </w:tc>
      </w:tr>
      <w:tr>
        <w:tc>
          <w:tcPr>
            <w:tcW w:type="dxa" w:w="3168"/>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Focused Accounting acceptance</w:t>
            </w:r>
          </w:p>
        </w:tc>
        <w:tc>
          <w:tcPr>
            <w:tcW w:type="dxa" w:w="6192"/>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21 passed / 319 assertions</w:t>
            </w:r>
          </w:p>
        </w:tc>
      </w:tr>
      <w:tr>
        <w:tc>
          <w:tcPr>
            <w:tcW w:type="dxa" w:w="3168"/>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Fresh deployment / HTTPS</w:t>
            </w:r>
          </w:p>
        </w:tc>
        <w:tc>
          <w:tcPr>
            <w:tcW w:type="dxa" w:w="6192"/>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5 passed / 39 assertions</w:t>
            </w:r>
          </w:p>
        </w:tc>
      </w:tr>
      <w:tr>
        <w:tc>
          <w:tcPr>
            <w:tcW w:type="dxa" w:w="3168"/>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HR platform</w:t>
            </w:r>
          </w:p>
        </w:tc>
        <w:tc>
          <w:tcPr>
            <w:tcW w:type="dxa" w:w="6192"/>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10 passed / 67 assertions</w:t>
            </w:r>
          </w:p>
        </w:tc>
      </w:tr>
      <w:tr>
        <w:tc>
          <w:tcPr>
            <w:tcW w:type="dxa" w:w="3168"/>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Projects + Support</w:t>
            </w:r>
          </w:p>
        </w:tc>
        <w:tc>
          <w:tcPr>
            <w:tcW w:type="dxa" w:w="6192"/>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174 passed / 933 assertions</w:t>
            </w:r>
          </w:p>
        </w:tc>
      </w:tr>
      <w:tr>
        <w:tc>
          <w:tcPr>
            <w:tcW w:type="dxa" w:w="3168"/>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Full regression</w:t>
            </w:r>
          </w:p>
        </w:tc>
        <w:tc>
          <w:tcPr>
            <w:tcW w:type="dxa" w:w="6192"/>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1,887 passed, 14 skipped, 4 classified non-regressions, 5,837 assertions, 3,106.82 seconds</w:t>
            </w:r>
          </w:p>
        </w:tc>
      </w:tr>
      <w:tr>
        <w:tc>
          <w:tcPr>
            <w:tcW w:type="dxa" w:w="3168"/>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Targeted reruns</w:t>
            </w:r>
          </w:p>
        </w:tc>
        <w:tc>
          <w:tcPr>
            <w:tcW w:type="dxa" w:w="6192"/>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Faker collision test passed 1/4; external workbook bank workflow passed 1/7</w:t>
            </w:r>
          </w:p>
        </w:tc>
      </w:tr>
      <w:tr>
        <w:tc>
          <w:tcPr>
            <w:tcW w:type="dxa" w:w="3168"/>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PHP quality</w:t>
            </w:r>
          </w:p>
        </w:tc>
        <w:tc>
          <w:tcPr>
            <w:tcW w:type="dxa" w:w="6192"/>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79 HR PHP files linted; changed PHP Pint passed; git diff --check passed</w:t>
            </w:r>
          </w:p>
        </w:tc>
      </w:tr>
      <w:tr>
        <w:tc>
          <w:tcPr>
            <w:tcW w:type="dxa" w:w="3168"/>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Application</w:t>
            </w:r>
          </w:p>
        </w:tc>
        <w:tc>
          <w:tcPr>
            <w:tcW w:type="dxa" w:w="6192"/>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All migrations Ran; package discovery passed; ERP Doctor passed</w:t>
            </w:r>
          </w:p>
        </w:tc>
      </w:tr>
      <w:tr>
        <w:tc>
          <w:tcPr>
            <w:tcW w:type="dxa" w:w="3168"/>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Frontend</w:t>
            </w:r>
          </w:p>
        </w:tc>
        <w:tc>
          <w:tcPr>
            <w:tcW w:type="dxa" w:w="6192"/>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npm run build passed: 55 modules; one pre-existing CSS minifier warning</w:t>
            </w:r>
          </w:p>
        </w:tc>
      </w:tr>
      <w:tr>
        <w:tc>
          <w:tcPr>
            <w:tcW w:type="dxa" w:w="3168"/>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Docker static</w:t>
            </w:r>
          </w:p>
        </w:tc>
        <w:tc>
          <w:tcPr>
            <w:tcW w:type="dxa" w:w="6192"/>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docker compose config --quiet, environment generation, entrypoint shell syntax, package discovery passed</w:t>
            </w:r>
          </w:p>
        </w:tc>
      </w:tr>
    </w:tbl>
    <w:p>
      <w:pPr>
        <w:spacing w:after="0"/>
      </w:pPr>
    </w:p>
    <w:p>
      <w:r>
        <w:rPr>
          <w:rFonts w:ascii="Arial" w:hAnsi="Arial"/>
          <w:color w:val="000000"/>
          <w:sz w:val="22"/>
        </w:rPr>
        <w:t>Full-suite non-regressions: two list tests expected all accumulated partner/location records despite pagination; one Faker unique company-name collision passed on exact rerun; one workbook test lacked ACCOUNTING_WORKBOOK_FIXTURE and passed when the supplied acceptance workbook was provided. No product code was changed to mask these conditions.</w:t>
      </w:r>
    </w:p>
    <w:p>
      <w:bookmarkStart w:id="130" w:name="sec_accounting_workbook_acceptance"/>
      <w:pPr>
        <w:pStyle w:val="Heading1"/>
        <w:pageBreakBefore/>
      </w:pPr>
      <w:r>
        <w:t>Accounting workbook acceptance</w:t>
      </w:r>
      <w:bookmarkEnd w:id="130"/>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304"/>
        <w:gridCol w:w="2232"/>
        <w:gridCol w:w="2232"/>
        <w:gridCol w:w="2592"/>
      </w:tblGrid>
      <w:tr>
        <w:trPr>
          <w:tblHeader w:val="true"/>
        </w:trPr>
        <w:tc>
          <w:tcPr>
            <w:tcW w:type="dxa" w:w="2304"/>
            <w:tcMar>
              <w:top w:w="80" w:type="dxa"/>
              <w:start w:w="120" w:type="dxa"/>
              <w:bottom w:w="80" w:type="dxa"/>
              <w:end w:w="120" w:type="dxa"/>
            </w:tcMar>
            <w:vAlign w:val="center"/>
          </w:tcPr>
          <w:p>
            <w:pPr>
              <w:keepLines/>
              <w:spacing w:before="0" w:after="40" w:line="240" w:lineRule="auto"/>
            </w:pPr>
            <w:r>
              <w:rPr>
                <w:rFonts w:ascii="Arial" w:hAnsi="Arial"/>
                <w:b/>
                <w:color w:val="000000"/>
                <w:sz w:val="18"/>
              </w:rPr>
              <w:t>Measure</w:t>
            </w:r>
          </w:p>
        </w:tc>
        <w:tc>
          <w:tcPr>
            <w:tcW w:type="dxa" w:w="2232"/>
            <w:tcMar>
              <w:top w:w="80" w:type="dxa"/>
              <w:start w:w="120" w:type="dxa"/>
              <w:bottom w:w="80" w:type="dxa"/>
              <w:end w:w="120" w:type="dxa"/>
            </w:tcMar>
            <w:vAlign w:val="center"/>
          </w:tcPr>
          <w:p>
            <w:pPr>
              <w:keepLines/>
              <w:spacing w:before="0" w:after="40" w:line="240" w:lineRule="auto"/>
            </w:pPr>
            <w:r>
              <w:rPr>
                <w:rFonts w:ascii="Arial" w:hAnsi="Arial"/>
                <w:b/>
                <w:color w:val="000000"/>
                <w:sz w:val="18"/>
              </w:rPr>
              <w:t>Debit</w:t>
            </w:r>
          </w:p>
        </w:tc>
        <w:tc>
          <w:tcPr>
            <w:tcW w:type="dxa" w:w="2232"/>
            <w:tcMar>
              <w:top w:w="80" w:type="dxa"/>
              <w:start w:w="120" w:type="dxa"/>
              <w:bottom w:w="80" w:type="dxa"/>
              <w:end w:w="120" w:type="dxa"/>
            </w:tcMar>
            <w:vAlign w:val="center"/>
          </w:tcPr>
          <w:p>
            <w:pPr>
              <w:keepLines/>
              <w:spacing w:before="0" w:after="40" w:line="240" w:lineRule="auto"/>
            </w:pPr>
            <w:r>
              <w:rPr>
                <w:rFonts w:ascii="Arial" w:hAnsi="Arial"/>
                <w:b/>
                <w:color w:val="000000"/>
                <w:sz w:val="18"/>
              </w:rPr>
              <w:t>Credit</w:t>
            </w:r>
          </w:p>
        </w:tc>
        <w:tc>
          <w:tcPr>
            <w:tcW w:type="dxa" w:w="2592"/>
            <w:tcMar>
              <w:top w:w="80" w:type="dxa"/>
              <w:start w:w="120" w:type="dxa"/>
              <w:bottom w:w="80" w:type="dxa"/>
              <w:end w:w="120" w:type="dxa"/>
            </w:tcMar>
            <w:vAlign w:val="center"/>
          </w:tcPr>
          <w:p>
            <w:pPr>
              <w:keepLines/>
              <w:spacing w:before="0" w:after="40" w:line="240" w:lineRule="auto"/>
            </w:pPr>
            <w:r>
              <w:rPr>
                <w:rFonts w:ascii="Arial" w:hAnsi="Arial"/>
                <w:b/>
                <w:color w:val="000000"/>
                <w:sz w:val="18"/>
              </w:rPr>
              <w:t>Difference</w:t>
            </w:r>
          </w:p>
        </w:tc>
      </w:tr>
      <w:tr>
        <w:tc>
          <w:tcPr>
            <w:tcW w:type="dxa" w:w="230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Opening</w:t>
            </w:r>
          </w:p>
        </w:tc>
        <w:tc>
          <w:tcPr>
            <w:tcW w:type="dxa" w:w="2232"/>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800,000</w:t>
            </w:r>
          </w:p>
        </w:tc>
        <w:tc>
          <w:tcPr>
            <w:tcW w:type="dxa" w:w="2232"/>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800,000</w:t>
            </w:r>
          </w:p>
        </w:tc>
        <w:tc>
          <w:tcPr>
            <w:tcW w:type="dxa" w:w="2592"/>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0</w:t>
            </w:r>
          </w:p>
        </w:tc>
      </w:tr>
      <w:tr>
        <w:tc>
          <w:tcPr>
            <w:tcW w:type="dxa" w:w="230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Movement</w:t>
            </w:r>
          </w:p>
        </w:tc>
        <w:tc>
          <w:tcPr>
            <w:tcW w:type="dxa" w:w="2232"/>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685,000</w:t>
            </w:r>
          </w:p>
        </w:tc>
        <w:tc>
          <w:tcPr>
            <w:tcW w:type="dxa" w:w="2232"/>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685,000</w:t>
            </w:r>
          </w:p>
        </w:tc>
        <w:tc>
          <w:tcPr>
            <w:tcW w:type="dxa" w:w="2592"/>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0</w:t>
            </w:r>
          </w:p>
        </w:tc>
      </w:tr>
      <w:tr>
        <w:tc>
          <w:tcPr>
            <w:tcW w:type="dxa" w:w="230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Adjustment</w:t>
            </w:r>
          </w:p>
        </w:tc>
        <w:tc>
          <w:tcPr>
            <w:tcW w:type="dxa" w:w="2232"/>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20,000</w:t>
            </w:r>
          </w:p>
        </w:tc>
        <w:tc>
          <w:tcPr>
            <w:tcW w:type="dxa" w:w="2232"/>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20,000</w:t>
            </w:r>
          </w:p>
        </w:tc>
        <w:tc>
          <w:tcPr>
            <w:tcW w:type="dxa" w:w="2592"/>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0</w:t>
            </w:r>
          </w:p>
        </w:tc>
      </w:tr>
      <w:tr>
        <w:tc>
          <w:tcPr>
            <w:tcW w:type="dxa" w:w="230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Closing</w:t>
            </w:r>
          </w:p>
        </w:tc>
        <w:tc>
          <w:tcPr>
            <w:tcW w:type="dxa" w:w="2232"/>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1,170,000</w:t>
            </w:r>
          </w:p>
        </w:tc>
        <w:tc>
          <w:tcPr>
            <w:tcW w:type="dxa" w:w="2232"/>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1,170,000</w:t>
            </w:r>
          </w:p>
        </w:tc>
        <w:tc>
          <w:tcPr>
            <w:tcW w:type="dxa" w:w="2592"/>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0</w:t>
            </w:r>
          </w:p>
        </w:tc>
      </w:tr>
    </w:tbl>
    <w:p>
      <w:pPr>
        <w:spacing w:after="0"/>
      </w:pPr>
    </w:p>
    <w:p>
      <w:pPr>
        <w:pStyle w:val="ListBullet"/>
      </w:pPr>
      <w:r>
        <w:rPr>
          <w:rFonts w:ascii="Arial" w:hAnsi="Arial"/>
          <w:color w:val="000000"/>
          <w:sz w:val="22"/>
        </w:rPr>
        <w:t>The configurable financial-model workbook acceptance flow passed with the external workbook fixture.</w:t>
      </w:r>
    </w:p>
    <w:p>
      <w:pPr>
        <w:pStyle w:val="ListBullet"/>
      </w:pPr>
      <w:r>
        <w:rPr>
          <w:rFonts w:ascii="Arial" w:hAnsi="Arial"/>
          <w:color w:val="000000"/>
          <w:sz w:val="22"/>
        </w:rPr>
        <w:t>Opening, movement, and adjustment classifications remain distinct and closing derives from their net effect.</w:t>
      </w:r>
    </w:p>
    <w:p>
      <w:pPr>
        <w:pStyle w:val="ListBullet"/>
      </w:pPr>
      <w:r>
        <w:rPr>
          <w:rFonts w:ascii="Arial" w:hAnsi="Arial"/>
          <w:color w:val="000000"/>
          <w:sz w:val="22"/>
        </w:rPr>
        <w:t>The final local posted database aggregate was Dr 3,010,000 / Cr 3,010,000, difference 0, 42 posted lines, zero unbalanced posted moves.</w:t>
      </w:r>
    </w:p>
    <w:p>
      <w:pPr>
        <w:pStyle w:val="ListBullet"/>
      </w:pPr>
      <w:r>
        <w:rPr>
          <w:rFonts w:ascii="Arial" w:hAnsi="Arial"/>
          <w:color w:val="000000"/>
          <w:sz w:val="22"/>
        </w:rPr>
        <w:t>Reports derive from posted ledger records, not workbook formulas or source rows.</w:t>
      </w:r>
    </w:p>
    <w:p>
      <w:bookmarkStart w:id="131" w:name="sec_known_limitations_and_external_blo"/>
      <w:pPr>
        <w:pStyle w:val="Heading1"/>
        <w:pageBreakBefore/>
      </w:pPr>
      <w:r>
        <w:t>Known limitations and external blockers</w:t>
      </w:r>
      <w:bookmarkEnd w:id="131"/>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520"/>
        <w:gridCol w:w="6840"/>
      </w:tblGrid>
      <w:tr>
        <w:trPr>
          <w:tblHeader w:val="true"/>
        </w:trPr>
        <w:tc>
          <w:tcPr>
            <w:tcW w:type="dxa" w:w="2520"/>
            <w:tcMar>
              <w:top w:w="80" w:type="dxa"/>
              <w:start w:w="120" w:type="dxa"/>
              <w:bottom w:w="80" w:type="dxa"/>
              <w:end w:w="120" w:type="dxa"/>
            </w:tcMar>
            <w:vAlign w:val="center"/>
          </w:tcPr>
          <w:p>
            <w:pPr>
              <w:keepLines/>
              <w:spacing w:before="0" w:after="40" w:line="240" w:lineRule="auto"/>
            </w:pPr>
            <w:r>
              <w:rPr>
                <w:rFonts w:ascii="Arial" w:hAnsi="Arial"/>
                <w:b/>
                <w:color w:val="000000"/>
                <w:sz w:val="18"/>
              </w:rPr>
              <w:t>Item</w:t>
            </w:r>
          </w:p>
        </w:tc>
        <w:tc>
          <w:tcPr>
            <w:tcW w:type="dxa" w:w="6840"/>
            <w:tcMar>
              <w:top w:w="80" w:type="dxa"/>
              <w:start w:w="120" w:type="dxa"/>
              <w:bottom w:w="80" w:type="dxa"/>
              <w:end w:w="120" w:type="dxa"/>
            </w:tcMar>
            <w:vAlign w:val="center"/>
          </w:tcPr>
          <w:p>
            <w:pPr>
              <w:keepLines/>
              <w:spacing w:before="0" w:after="40" w:line="240" w:lineRule="auto"/>
            </w:pPr>
            <w:r>
              <w:rPr>
                <w:rFonts w:ascii="Arial" w:hAnsi="Arial"/>
                <w:b/>
                <w:color w:val="000000"/>
                <w:sz w:val="18"/>
              </w:rPr>
              <w:t>Boundary / action</w:t>
            </w:r>
          </w:p>
        </w:tc>
      </w:tr>
      <w:tr>
        <w:tc>
          <w:tcPr>
            <w:tcW w:type="dxa" w:w="252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Payroll</w:t>
            </w:r>
          </w:p>
        </w:tc>
        <w:tc>
          <w:tcPr>
            <w:tcW w:type="dxa" w:w="684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No authoritative payroll subsystem existed; no duplicate payroll engine was invented. Salary baseline and approved financial-request handoff are present.</w:t>
            </w:r>
          </w:p>
        </w:tc>
      </w:tr>
      <w:tr>
        <w:tc>
          <w:tcPr>
            <w:tcW w:type="dxa" w:w="252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External recruitment providers</w:t>
            </w:r>
          </w:p>
        </w:tc>
        <w:tc>
          <w:tcPr>
            <w:tcW w:type="dxa" w:w="684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Adapters/source provenance are extensible; live LinkedIn/Indeed/etc. API integrations require real provider contracts and credentials.</w:t>
            </w:r>
          </w:p>
        </w:tc>
      </w:tr>
      <w:tr>
        <w:tc>
          <w:tcPr>
            <w:tcW w:type="dxa" w:w="252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Biometric attendance</w:t>
            </w:r>
          </w:p>
        </w:tc>
        <w:tc>
          <w:tcPr>
            <w:tcW w:type="dxa" w:w="684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Attendance source design is extensible; no device/API integration is claimed.</w:t>
            </w:r>
          </w:p>
        </w:tc>
      </w:tr>
      <w:tr>
        <w:tc>
          <w:tcPr>
            <w:tcW w:type="dxa" w:w="252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Docker engine</w:t>
            </w:r>
          </w:p>
        </w:tc>
        <w:tc>
          <w:tcPr>
            <w:tcW w:type="dxa" w:w="684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CLI/Compose were installed, but Docker engine/Desktop was unavailable. Real image build, container start, health, browser access, queue/scheduler, and persistence-restart tests remain required on a Docker host.</w:t>
            </w:r>
          </w:p>
        </w:tc>
      </w:tr>
      <w:tr>
        <w:tc>
          <w:tcPr>
            <w:tcW w:type="dxa" w:w="252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Local Laragon DB password</w:t>
            </w:r>
          </w:p>
        </w:tc>
        <w:tc>
          <w:tcPr>
            <w:tcW w:type="dxa" w:w="684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Final diagnostics required a temporary empty DB_PASSWORD override because the local root account and existing .env password differed. Align local environment before manual non-Docker use.</w:t>
            </w:r>
          </w:p>
        </w:tc>
      </w:tr>
      <w:tr>
        <w:tc>
          <w:tcPr>
            <w:tcW w:type="dxa" w:w="252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Full-suite test isolation</w:t>
            </w:r>
          </w:p>
        </w:tc>
        <w:tc>
          <w:tcPr>
            <w:tcW w:type="dxa" w:w="684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Partner/location pagination expectations and Faker uniqueness can fail on an accumulated test database; isolate/refresh fixtures before treating as regressions.</w:t>
            </w:r>
          </w:p>
        </w:tc>
      </w:tr>
      <w:tr>
        <w:tc>
          <w:tcPr>
            <w:tcW w:type="dxa" w:w="252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Screenshots</w:t>
            </w:r>
          </w:p>
        </w:tc>
        <w:tc>
          <w:tcPr>
            <w:tcW w:type="dxa" w:w="684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Not captured because the runtime browser/Docker environment was unavailable; automated endpoint/feature coverage was used.</w:t>
            </w:r>
          </w:p>
        </w:tc>
      </w:tr>
      <w:tr>
        <w:tc>
          <w:tcPr>
            <w:tcW w:type="dxa" w:w="252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Unpushed work</w:t>
            </w:r>
          </w:p>
        </w:tc>
        <w:tc>
          <w:tcPr>
            <w:tcW w:type="dxa" w:w="6840"/>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Docker commit and final DOCX artifacts are local until explicitly approved and safely pushed.</w:t>
            </w:r>
          </w:p>
        </w:tc>
      </w:tr>
    </w:tbl>
    <w:p>
      <w:pPr>
        <w:spacing w:after="0"/>
      </w:pPr>
    </w:p>
    <w:p>
      <w:bookmarkStart w:id="132" w:name="sec_recommended_future_development"/>
      <w:pPr>
        <w:pStyle w:val="Heading1"/>
        <w:pageBreakBefore/>
      </w:pPr>
      <w:r>
        <w:t>Recommended future development</w:t>
      </w:r>
      <w:bookmarkEnd w:id="132"/>
    </w:p>
    <w:p>
      <w:pPr>
        <w:pStyle w:val="ListNumber"/>
      </w:pPr>
      <w:r>
        <w:rPr>
          <w:rFonts w:ascii="Arial" w:hAnsi="Arial"/>
          <w:color w:val="000000"/>
          <w:sz w:val="22"/>
        </w:rPr>
        <w:t>Run the complete Docker build/start/health/persistence/browser checklist on the target Linux/AWS environment before go-live.</w:t>
      </w:r>
    </w:p>
    <w:p>
      <w:pPr>
        <w:pStyle w:val="ListNumber"/>
      </w:pPr>
      <w:r>
        <w:rPr>
          <w:rFonts w:ascii="Arial" w:hAnsi="Arial"/>
          <w:color w:val="000000"/>
          <w:sz w:val="22"/>
        </w:rPr>
        <w:t>Decide whether to adopt an existing payroll plugin/architecture; design payroll only after statutory, approval, security, and Accounting requirements are confirmed.</w:t>
      </w:r>
    </w:p>
    <w:p>
      <w:pPr>
        <w:pStyle w:val="ListNumber"/>
      </w:pPr>
      <w:r>
        <w:rPr>
          <w:rFonts w:ascii="Arial" w:hAnsi="Arial"/>
          <w:color w:val="000000"/>
          <w:sz w:val="22"/>
        </w:rPr>
        <w:t>Implement real recruitment/attendance provider adapters only for approved APIs with credential storage, rate limits, retries, provenance, and privacy controls.</w:t>
      </w:r>
    </w:p>
    <w:p>
      <w:pPr>
        <w:pStyle w:val="ListNumber"/>
      </w:pPr>
      <w:r>
        <w:rPr>
          <w:rFonts w:ascii="Arial" w:hAnsi="Arial"/>
          <w:color w:val="000000"/>
          <w:sz w:val="22"/>
        </w:rPr>
        <w:t>Harden full-suite test isolation for paginated list expectations and unique Faker data; keep behavior assertions pagination-aware.</w:t>
      </w:r>
    </w:p>
    <w:p>
      <w:pPr>
        <w:pStyle w:val="ListNumber"/>
      </w:pPr>
      <w:r>
        <w:rPr>
          <w:rFonts w:ascii="Arial" w:hAnsi="Arial"/>
          <w:color w:val="000000"/>
          <w:sz w:val="22"/>
        </w:rPr>
        <w:t>Establish production observability, recovery objectives, backup retention, restore drills, capacity baselines, and change-control ownership.</w:t>
      </w:r>
    </w:p>
    <w:p>
      <w:pPr>
        <w:pStyle w:val="ListNumber"/>
      </w:pPr>
      <w:r>
        <w:rPr>
          <w:rFonts w:ascii="Arial" w:hAnsi="Arial"/>
          <w:color w:val="000000"/>
          <w:sz w:val="22"/>
        </w:rPr>
        <w:t>Add browser screenshots and role-based walkthroughs after the final deployment URL and representative non-sensitive demo data are available.</w:t>
      </w:r>
    </w:p>
    <w:p>
      <w:bookmarkStart w:id="133" w:name="sec_recovery_and_troubleshooting"/>
      <w:pPr>
        <w:pStyle w:val="Heading1"/>
        <w:pageBreakBefore/>
        <w:jc w:val="left"/>
      </w:pPr>
      <w:r>
        <w:t>Recovery and</w:t>
        <w:br/>
        <w:t>troubleshooting</w:t>
      </w:r>
      <w:bookmarkEnd w:id="133"/>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376"/>
        <w:gridCol w:w="6984"/>
      </w:tblGrid>
      <w:tr>
        <w:trPr>
          <w:tblHeader w:val="true"/>
        </w:trPr>
        <w:tc>
          <w:tcPr>
            <w:tcW w:type="dxa" w:w="2376"/>
            <w:tcMar>
              <w:top w:w="80" w:type="dxa"/>
              <w:start w:w="120" w:type="dxa"/>
              <w:bottom w:w="80" w:type="dxa"/>
              <w:end w:w="120" w:type="dxa"/>
            </w:tcMar>
            <w:vAlign w:val="center"/>
          </w:tcPr>
          <w:p>
            <w:pPr>
              <w:keepLines/>
              <w:spacing w:before="0" w:after="40" w:line="240" w:lineRule="auto"/>
            </w:pPr>
            <w:r>
              <w:rPr>
                <w:rFonts w:ascii="Arial" w:hAnsi="Arial"/>
                <w:b/>
                <w:color w:val="000000"/>
                <w:sz w:val="18"/>
              </w:rPr>
              <w:t>Incident</w:t>
            </w:r>
          </w:p>
        </w:tc>
        <w:tc>
          <w:tcPr>
            <w:tcW w:type="dxa" w:w="6984"/>
            <w:tcMar>
              <w:top w:w="80" w:type="dxa"/>
              <w:start w:w="120" w:type="dxa"/>
              <w:bottom w:w="80" w:type="dxa"/>
              <w:end w:w="120" w:type="dxa"/>
            </w:tcMar>
            <w:vAlign w:val="center"/>
          </w:tcPr>
          <w:p>
            <w:pPr>
              <w:keepLines/>
              <w:spacing w:before="0" w:after="40" w:line="240" w:lineRule="auto"/>
            </w:pPr>
            <w:r>
              <w:rPr>
                <w:rFonts w:ascii="Arial" w:hAnsi="Arial"/>
                <w:b/>
                <w:color w:val="000000"/>
                <w:sz w:val="18"/>
              </w:rPr>
              <w:t>Recovery sequence</w:t>
            </w:r>
          </w:p>
        </w:tc>
      </w:tr>
      <w:tr>
        <w:tc>
          <w:tcPr>
            <w:tcW w:type="dxa" w:w="237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Failed deployment</w:t>
            </w:r>
          </w:p>
        </w:tc>
        <w:tc>
          <w:tcPr>
            <w:tcW w:type="dxa" w:w="698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Stop traffic/workers → inspect logs/migrations → restore prior image/commit if schema-compatible → restore verified DB/storage only when required → doctor/reconcile</w:t>
            </w:r>
          </w:p>
        </w:tc>
      </w:tr>
      <w:tr>
        <w:tc>
          <w:tcPr>
            <w:tcW w:type="dxa" w:w="237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Database unavailable</w:t>
            </w:r>
          </w:p>
        </w:tc>
        <w:tc>
          <w:tcPr>
            <w:tcW w:type="dxa" w:w="698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Verify network/credentials/service health → do not recreate volumes → test with read-only query → restore only after confirming corruption/loss</w:t>
            </w:r>
          </w:p>
        </w:tc>
      </w:tr>
      <w:tr>
        <w:tc>
          <w:tcPr>
            <w:tcW w:type="dxa" w:w="237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Migration failure</w:t>
            </w:r>
          </w:p>
        </w:tc>
        <w:tc>
          <w:tcPr>
            <w:tcW w:type="dxa" w:w="698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Keep traffic stopped → capture error/schema state → do not rerun destructively → correct forward migration or restore checkpoint → retest isolated</w:t>
            </w:r>
          </w:p>
        </w:tc>
      </w:tr>
      <w:tr>
        <w:tc>
          <w:tcPr>
            <w:tcW w:type="dxa" w:w="237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Queue failure</w:t>
            </w:r>
          </w:p>
        </w:tc>
        <w:tc>
          <w:tcPr>
            <w:tcW w:type="dxa" w:w="698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Stop/limit worker → inspect failed jobs and idempotency → fix cause → retry selected jobs → verify downstream journal/request state</w:t>
            </w:r>
          </w:p>
        </w:tc>
      </w:tr>
      <w:tr>
        <w:tc>
          <w:tcPr>
            <w:tcW w:type="dxa" w:w="237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Accounting discrepancy</w:t>
            </w:r>
          </w:p>
        </w:tc>
        <w:tc>
          <w:tcPr>
            <w:tcW w:type="dxa" w:w="698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Freeze posting → identify company/date/currency → reconcile move lines/GL/TB/statements → inspect sources/approvals → correct through supported reversal</w:t>
            </w:r>
          </w:p>
        </w:tc>
      </w:tr>
      <w:tr>
        <w:tc>
          <w:tcPr>
            <w:tcW w:type="dxa" w:w="237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Unauthorized visibility</w:t>
            </w:r>
          </w:p>
        </w:tc>
        <w:tc>
          <w:tcPr>
            <w:tcW w:type="dxa" w:w="698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Disable affected access if needed → verify company/role/policy/service scopes → audit access → add regression test before restoration</w:t>
            </w:r>
          </w:p>
        </w:tc>
      </w:tr>
    </w:tbl>
    <w:p>
      <w:pPr>
        <w:spacing w:after="0"/>
      </w:pPr>
    </w:p>
    <w:p>
      <w:bookmarkStart w:id="134" w:name="sec_post_recovery_verification"/>
      <w:pPr>
        <w:pStyle w:val="Heading2"/>
      </w:pPr>
      <w:r>
        <w:t>Post-recovery verification</w:t>
      </w:r>
      <w:bookmarkEnd w:id="134"/>
    </w:p>
    <w:p>
      <w:pPr>
        <w:pStyle w:val="ListBullet"/>
      </w:pPr>
      <w:r>
        <w:rPr>
          <w:rFonts w:ascii="Arial" w:hAnsi="Arial"/>
          <w:color w:val="000000"/>
          <w:sz w:val="22"/>
        </w:rPr>
        <w:t>Run migrate:status, ERP Doctor, route/application boot, queue/scheduler checks, and targeted feature tests.</w:t>
      </w:r>
    </w:p>
    <w:p>
      <w:pPr>
        <w:pStyle w:val="ListBullet"/>
      </w:pPr>
      <w:r>
        <w:rPr>
          <w:rFonts w:ascii="Arial" w:hAnsi="Arial"/>
          <w:color w:val="000000"/>
          <w:sz w:val="22"/>
        </w:rPr>
        <w:t>Confirm posted journals are balanced and the accepted Accounting reconciliation has not changed unexpectedly.</w:t>
      </w:r>
    </w:p>
    <w:p>
      <w:pPr>
        <w:pStyle w:val="ListBullet"/>
      </w:pPr>
      <w:r>
        <w:rPr>
          <w:rFonts w:ascii="Arial" w:hAnsi="Arial"/>
          <w:color w:val="000000"/>
          <w:sz w:val="22"/>
        </w:rPr>
        <w:t>Confirm company isolation, administrator menus, plugin states, permission counts, and representative approval workflows.</w:t>
      </w:r>
    </w:p>
    <w:p>
      <w:pPr>
        <w:pStyle w:val="ListBullet"/>
      </w:pPr>
      <w:r>
        <w:rPr>
          <w:rFonts w:ascii="Arial" w:hAnsi="Arial"/>
          <w:color w:val="000000"/>
          <w:sz w:val="22"/>
        </w:rPr>
        <w:t>Record restored backup, commit/image, migration state, incident timeline, and residual risks.</w:t>
      </w:r>
    </w:p>
    <w:p>
      <w:bookmarkStart w:id="135" w:name="sec_handover_checklist"/>
      <w:pPr>
        <w:pStyle w:val="Heading1"/>
        <w:pageBreakBefore/>
      </w:pPr>
      <w:r>
        <w:t>Handover checklist</w:t>
      </w:r>
      <w:bookmarkEnd w:id="135"/>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5256"/>
        <w:gridCol w:w="4104"/>
      </w:tblGrid>
      <w:tr>
        <w:trPr>
          <w:tblHeader w:val="true"/>
        </w:trPr>
        <w:tc>
          <w:tcPr>
            <w:tcW w:type="dxa" w:w="5256"/>
            <w:tcMar>
              <w:top w:w="80" w:type="dxa"/>
              <w:start w:w="120" w:type="dxa"/>
              <w:bottom w:w="80" w:type="dxa"/>
              <w:end w:w="120" w:type="dxa"/>
            </w:tcMar>
            <w:vAlign w:val="center"/>
          </w:tcPr>
          <w:p>
            <w:pPr>
              <w:keepLines/>
              <w:spacing w:before="0" w:after="40" w:line="240" w:lineRule="auto"/>
            </w:pPr>
            <w:r>
              <w:rPr>
                <w:rFonts w:ascii="Arial" w:hAnsi="Arial"/>
                <w:b/>
                <w:color w:val="000000"/>
                <w:sz w:val="18"/>
              </w:rPr>
              <w:t>Check</w:t>
            </w:r>
          </w:p>
        </w:tc>
        <w:tc>
          <w:tcPr>
            <w:tcW w:type="dxa" w:w="4104"/>
            <w:tcMar>
              <w:top w:w="80" w:type="dxa"/>
              <w:start w:w="120" w:type="dxa"/>
              <w:bottom w:w="80" w:type="dxa"/>
              <w:end w:w="120" w:type="dxa"/>
            </w:tcMar>
            <w:vAlign w:val="center"/>
          </w:tcPr>
          <w:p>
            <w:pPr>
              <w:keepLines/>
              <w:spacing w:before="0" w:after="40" w:line="240" w:lineRule="auto"/>
            </w:pPr>
            <w:r>
              <w:rPr>
                <w:rFonts w:ascii="Arial" w:hAnsi="Arial"/>
                <w:b/>
                <w:color w:val="000000"/>
                <w:sz w:val="18"/>
              </w:rPr>
              <w:t>Status / owner action</w:t>
            </w:r>
          </w:p>
        </w:tc>
      </w:tr>
      <w:tr>
        <w:tc>
          <w:tcPr>
            <w:tcW w:type="dxa" w:w="525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Accounting and HR remote checkpoints verified</w:t>
            </w:r>
          </w:p>
        </w:tc>
        <w:tc>
          <w:tcPr>
            <w:tcW w:type="dxa" w:w="410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Complete</w:t>
            </w:r>
          </w:p>
        </w:tc>
      </w:tr>
      <w:tr>
        <w:tc>
          <w:tcPr>
            <w:tcW w:type="dxa" w:w="525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Local Docker/document commits reviewed and approved for push</w:t>
            </w:r>
          </w:p>
        </w:tc>
        <w:tc>
          <w:tcPr>
            <w:tcW w:type="dxa" w:w="410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Owner approval still required before publishing new payload</w:t>
            </w:r>
          </w:p>
        </w:tc>
      </w:tr>
      <w:tr>
        <w:tc>
          <w:tcPr>
            <w:tcW w:type="dxa" w:w="525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Production .env/secrets created outside Git</w:t>
            </w:r>
          </w:p>
        </w:tc>
        <w:tc>
          <w:tcPr>
            <w:tcW w:type="dxa" w:w="410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Deployment owner</w:t>
            </w:r>
          </w:p>
        </w:tc>
      </w:tr>
      <w:tr>
        <w:tc>
          <w:tcPr>
            <w:tcW w:type="dxa" w:w="525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Database and storage backups verified</w:t>
            </w:r>
          </w:p>
        </w:tc>
        <w:tc>
          <w:tcPr>
            <w:tcW w:type="dxa" w:w="410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Deployment owner before migration</w:t>
            </w:r>
          </w:p>
        </w:tc>
      </w:tr>
      <w:tr>
        <w:tc>
          <w:tcPr>
            <w:tcW w:type="dxa" w:w="525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Docker build/start/health/persistence tested on target</w:t>
            </w:r>
          </w:p>
        </w:tc>
        <w:tc>
          <w:tcPr>
            <w:tcW w:type="dxa" w:w="410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Required before go-live</w:t>
            </w:r>
          </w:p>
        </w:tc>
      </w:tr>
      <w:tr>
        <w:tc>
          <w:tcPr>
            <w:tcW w:type="dxa" w:w="525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Migrations applied explicitly</w:t>
            </w:r>
          </w:p>
        </w:tc>
        <w:tc>
          <w:tcPr>
            <w:tcW w:type="dxa" w:w="410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Deployment owner</w:t>
            </w:r>
          </w:p>
        </w:tc>
      </w:tr>
      <w:tr>
        <w:tc>
          <w:tcPr>
            <w:tcW w:type="dxa" w:w="525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Reference/config seed run only on fresh empty DB</w:t>
            </w:r>
          </w:p>
        </w:tc>
        <w:tc>
          <w:tcPr>
            <w:tcW w:type="dxa" w:w="410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Deployment owner</w:t>
            </w:r>
          </w:p>
        </w:tc>
      </w:tr>
      <w:tr>
        <w:tc>
          <w:tcPr>
            <w:tcW w:type="dxa" w:w="525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Accounting + HR permissions synchronized</w:t>
            </w:r>
          </w:p>
        </w:tc>
        <w:tc>
          <w:tcPr>
            <w:tcW w:type="dxa" w:w="410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Deployment owner</w:t>
            </w:r>
          </w:p>
        </w:tc>
      </w:tr>
      <w:tr>
        <w:tc>
          <w:tcPr>
            <w:tcW w:type="dxa" w:w="525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First company/admin configured and ERP Doctor clean</w:t>
            </w:r>
          </w:p>
        </w:tc>
        <w:tc>
          <w:tcPr>
            <w:tcW w:type="dxa" w:w="410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Application owner</w:t>
            </w:r>
          </w:p>
        </w:tc>
      </w:tr>
      <w:tr>
        <w:tc>
          <w:tcPr>
            <w:tcW w:type="dxa" w:w="525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Accounting workbook imported/reconciled in target acceptance environment</w:t>
            </w:r>
          </w:p>
        </w:tc>
        <w:tc>
          <w:tcPr>
            <w:tcW w:type="dxa" w:w="410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Finance owner</w:t>
            </w:r>
          </w:p>
        </w:tc>
      </w:tr>
      <w:tr>
        <w:tc>
          <w:tcPr>
            <w:tcW w:type="dxa" w:w="525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Role/company isolation acceptance signed off</w:t>
            </w:r>
          </w:p>
        </w:tc>
        <w:tc>
          <w:tcPr>
            <w:tcW w:type="dxa" w:w="410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Security/application owner</w:t>
            </w:r>
          </w:p>
        </w:tc>
      </w:tr>
      <w:tr>
        <w:tc>
          <w:tcPr>
            <w:tcW w:type="dxa" w:w="5256"/>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Backup retention, monitoring, certificates, queue/scheduler ownership assigned</w:t>
            </w:r>
          </w:p>
        </w:tc>
        <w:tc>
          <w:tcPr>
            <w:tcW w:type="dxa" w:w="4104"/>
            <w:tcMar>
              <w:top w:w="80" w:type="dxa"/>
              <w:start w:w="120" w:type="dxa"/>
              <w:bottom w:w="80" w:type="dxa"/>
              <w:end w:w="120" w:type="dxa"/>
            </w:tcMar>
            <w:vAlign w:val="center"/>
          </w:tcPr>
          <w:p>
            <w:pPr>
              <w:keepLines/>
              <w:spacing w:before="0" w:after="40" w:line="240" w:lineRule="auto"/>
            </w:pPr>
            <w:r>
              <w:rPr>
                <w:rFonts w:ascii="Arial" w:hAnsi="Arial"/>
                <w:b w:val="0"/>
                <w:color w:val="000000"/>
                <w:sz w:val="18"/>
              </w:rPr>
              <w:t>Operations owner</w:t>
            </w:r>
          </w:p>
        </w:tc>
      </w:tr>
    </w:tbl>
    <w:p>
      <w:pPr>
        <w:spacing w:after="0"/>
      </w:pPr>
    </w:p>
    <w:sectPr>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720" w:hanging="360"/>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720" w:hanging="360"/>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40" w:after="160"/>
    </w:pPr>
    <w:rPr>
      <w:rFonts w:ascii="Arial" w:hAnsi="Arial"/>
      <w:i/>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dc:title>
  <dc:subject>Aureus ERP final handover</dc:subject>
  <dc:creator/>
  <cp:keywords>Aureus ERP, Accounting, HR, Docker, handover</cp:keywords>
  <dc:description>Verified implementation baseline as of 28 August 2026.</dc:description>
  <cp:lastModifiedBy/>
  <cp:revision>1</cp:revision>
  <dcterms:created xsi:type="dcterms:W3CDTF">2013-12-23T23:15:00Z</dcterms:created>
  <dcterms:modified xsi:type="dcterms:W3CDTF">2013-12-23T23:15:00Z</dcterms:modified>
  <cp:category/>
</cp:coreProperties>
</file>