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yei0vbo4jll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כניסה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למערכת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Login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Screen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5sz79da1jco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מגייסים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וממותגת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jx1216kic0t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ומינימליסטי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4hazyl5cp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ויזואלי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רקע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לוגו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בינת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הממותגת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טופס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מודרני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rmr6k1vm9rr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0xnpba4ej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מיתוג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ועיצוב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ייעודי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למחלקה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לוגו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למחלקת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EXPERTS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Experts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ומומחיות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הדגשה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EXPERTS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08rwgm9eum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ההתחברות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המאוחד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דואר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אלקטרוני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הסתר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התחבר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היגיון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תפקידו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Recruiter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Vendor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Candidate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e33i1bmsya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אבטחה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סיסמאות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שלבי</w:t>
      </w:r>
      <w:r w:rsidDel="00000000" w:rsidR="00000000" w:rsidRPr="00000000">
        <w:rPr>
          <w:b w:val="1"/>
          <w:rtl w:val="1"/>
        </w:rPr>
        <w:t xml:space="preserve"> (2</w:t>
      </w:r>
      <w:r w:rsidDel="00000000" w:rsidR="00000000" w:rsidRPr="00000000">
        <w:rPr>
          <w:b w:val="1"/>
          <w:rtl w:val="0"/>
        </w:rPr>
        <w:t xml:space="preserve">FA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Authenticator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שכחתי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קישור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איפוס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1ybiud7jmi9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Hashing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ובסולט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RBAC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Formik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לאנימציות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Responsive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אסתטי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