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ind w:left="1440" w:hanging="360"/>
        <w:rPr>
          <w:b w:val="1"/>
          <w:sz w:val="46"/>
          <w:szCs w:val="46"/>
        </w:rPr>
      </w:pPr>
      <w:bookmarkStart w:colFirst="0" w:colLast="0" w:name="_sjz4ru47nim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מסך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לקוחות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והזמנות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Clients</w:t>
      </w:r>
      <w:r w:rsidDel="00000000" w:rsidR="00000000" w:rsidRPr="00000000">
        <w:rPr>
          <w:b w:val="1"/>
          <w:sz w:val="46"/>
          <w:szCs w:val="46"/>
          <w:rtl w:val="0"/>
        </w:rPr>
        <w:t xml:space="preserve"> &amp; </w:t>
      </w:r>
      <w:r w:rsidDel="00000000" w:rsidR="00000000" w:rsidRPr="00000000">
        <w:rPr>
          <w:b w:val="1"/>
          <w:sz w:val="46"/>
          <w:szCs w:val="46"/>
          <w:rtl w:val="0"/>
        </w:rPr>
        <w:t xml:space="preserve">Purchase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Orders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rct1ak8z94vj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וחשבוניות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4sp30d2ypvcv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jf1pwmm58zg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פאנל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וחיפוש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Sortable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מודל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2mix9pr1dfds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ופונקציונליות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4yw65l7h6moq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ראשי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רשימת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לקוחות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מועסקים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אזרחי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1"/>
        </w:rPr>
        <w:t xml:space="preserve">ביטחוני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וחיפוש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שורתיות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שיכלול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ערוך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ltv60q6jzs5l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מודל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פרטי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לקוח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מורחבים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פאנל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עליון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טאבים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Tabs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לניהול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פרטים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אנשי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בלקוח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תנאי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תשלום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שוטף</w:t>
      </w:r>
      <w:r w:rsidDel="00000000" w:rsidR="00000000" w:rsidRPr="00000000">
        <w:rPr>
          <w:rtl w:val="1"/>
        </w:rPr>
        <w:t xml:space="preserve"> + 30).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אזרחי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ביטחוני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משרות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והזדמנויות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והסגורות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הזמנות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b w:val="1"/>
          <w:rtl w:val="1"/>
        </w:rPr>
        <w:t xml:space="preserve">)":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הזמנות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Closed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היגיון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חשבוניות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וחיובים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Invoices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Billing</w:t>
      </w:r>
      <w:r w:rsidDel="00000000" w:rsidR="00000000" w:rsidRPr="00000000">
        <w:rPr>
          <w:b w:val="1"/>
          <w:rtl w:val="1"/>
        </w:rPr>
        <w:t xml:space="preserve">)":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תצוגת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דוח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חובות</w:t>
      </w:r>
      <w:r w:rsidDel="00000000" w:rsidR="00000000" w:rsidRPr="00000000">
        <w:rPr>
          <w:b w:val="1"/>
          <w:rtl w:val="1"/>
        </w:rPr>
        <w:t xml:space="preserve">" (</w:t>
      </w:r>
      <w:r w:rsidDel="00000000" w:rsidR="00000000" w:rsidRPr="00000000">
        <w:rPr>
          <w:b w:val="1"/>
          <w:rtl w:val="0"/>
        </w:rPr>
        <w:t xml:space="preserve">Aging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הפיגור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Overdue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חשבונית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wm3je4m2lpyl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 (Prisma):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paymentTerms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1"/>
        </w:rPr>
        <w:t xml:space="preserve">נוסף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שדה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clientType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אזרחי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ביטחוני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PurchaseOrder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Relation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JobRequisition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Invoice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dueDate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וחשבוניות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החובות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לוגיקה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מותאמת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כביטחוניות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ביטחוני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 State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יטופלו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ומתקדם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bidi w:val="1"/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