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w8zzrqrtdwj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מאגר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קורות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חיים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CV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Database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i5mhf7ms1yq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פרואקטיבי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2xk8v91c9b6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אליטיסטית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מודרני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ומינימליסטי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ומתקדמת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dh8ve2ov3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מרהיב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ואינטראקטיביות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rtcorqg6awj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פורץ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דרך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4nrz35d10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הוספה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מבוסס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Resume Parsing: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תובנות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הסייבר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לדפוס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מסמך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ללקוח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וממותג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כפילויות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Duplicate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fn63n3rnh1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חיפוש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וסינון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אינטליגנטי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סמנטי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Semantic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יחפש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מבוזרות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Kafka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פילטרים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פילטרים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uu39fthtg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ותובנות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פרואקטיביות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מומלצים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'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':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כזכאי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trpyq9jjc3h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שחולצו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originalResumeFile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standardizedResumeFile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referredByEmployeeId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Puppeteer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Recharts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