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zgelizee1a4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מורחב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ניהול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ספקים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Vendors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ts6zdjyt6ps8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והתפעולית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1jbqbicgt71j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lv4hea7wfy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ותמחור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חיובים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ותשלומים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7jjap4dfsb73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w4i7ooqexmc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טאב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אנשי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+ 60).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7v5aun75vfxk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טאב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שירותים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ותמחור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תמחור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התמחור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"1,500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ופעולות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hrbpn90cl2q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טאב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חיובים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ותשלומים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חשבוניות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Pending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הוצאות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jcas5spq4xg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טאב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עובדים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ומועמדים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משויכים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1utrwkcgtdpk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Vendor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paymentTerms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VendorService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pricingModel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VendorInvoice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ושירותים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שנתיות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וטאבים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