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ind w:left="1440" w:hanging="360"/>
        <w:rPr>
          <w:b w:val="1"/>
          <w:sz w:val="46"/>
          <w:szCs w:val="46"/>
        </w:rPr>
      </w:pPr>
      <w:bookmarkStart w:colFirst="0" w:colLast="0" w:name="_l2889i3sfkd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מסך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פורטל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לקוח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Client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Portal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5mflh8prqau7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מטרה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השקיפות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ההיבטים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ההתקשרות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ומבוקרת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ljanrmyt9hxh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חווית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UI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UX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הפורטל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ואינטואיטיבית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יומיומי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mrgv19onfi2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רכיבים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מרכזיים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דשבורד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תפריט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ניווט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צידי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למסכים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ומועמדים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וחיובים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מרכזי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ורשימות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by4r4sgdrxa5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ופונקציונליות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פירוט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מלא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pumds26g3w3h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דשבורד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ראשי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KPIs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מרכזיים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משרות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פתוחות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מועמדים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בתהליך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ממוצע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לגיוס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גרף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פייפליין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גיוס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סוג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גרף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Chart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1)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התראות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-60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").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ggk3l1m3w7oq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ומועמדים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מועמדים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בפרופיל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משרה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תצוגה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מוגבלת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הוצג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מראיון</w:t>
      </w:r>
      <w:r w:rsidDel="00000000" w:rsidR="00000000" w:rsidRPr="00000000">
        <w:rPr>
          <w:rtl w:val="1"/>
        </w:rPr>
        <w:t xml:space="preserve">").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שורתיות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צפייה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חיים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bidi w:val="1"/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הגשת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משוב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3qmvs4e67zml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הזמנות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וחיובים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הזמנות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רכש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Purchase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Paid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דוח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חיובים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Aging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והמאוחרות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פיגור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aseai7bf92j7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צ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ותקשורת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שילוב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אט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פנימי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שיחות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ממוקדות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אפשרויות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2bptapnp9bir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המלצות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טכניות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 (Prisma):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ClientUser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ומוגבל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 clientId = &lt;client_id_of_user&gt;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Tailwind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ותצוגות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bidi w:val="1"/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