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9pud15afca1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פורטל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ספק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Vendor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Portal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38ybiboeoorn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v5aqo194bmoq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ופונקציונלית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ותפעוליים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7ekaov2fs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תפריט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ניווט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צידי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למסכים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חיובים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yuk5mikgn8p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ji2je2iuhggp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דשבורד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חשבוניות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הכנסות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בחודש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הכנסות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האחרונים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h409hbj8xi4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משימות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והסגורות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כהן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עדכון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qbzvfia1jsv9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חיובים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ותשלומים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הגשת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טופס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העלאה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x1i8gtfbr8vi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הודעות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שיחות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ממוקדות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שיתוף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bvkzxpyzo9dp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VendorUser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Vendor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VendorTask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