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jfzhr2bhr2g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קליטת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עובד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Onboarding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mprpw1p4js8o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Onboarding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ולאוטמט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האדמיניסטרטיבית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ומאורגנת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apulqarshm4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Checklist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cgyqyigpwj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בתהליך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Checklist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 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פורטל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ומינימליסטי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vn4dpi75ifbu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d9zcr5mmlgi3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הפעלת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אוטומטי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טריגר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Onboarding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Onboarding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ka30kwt76kpo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חכמה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טמפלטים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מוגדרים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מראש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למנהל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מגייס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החדש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יאוחסנו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תזכורות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12g4s8av59k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חווית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לעובד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החדש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תצוגה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5nibwwkb102r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תקשורת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אוטומטית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מייל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z3jq406qah3n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OnboardingChecklist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OnboardingTask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וטאבים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