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5jelozhk0dv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תהליך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סיווג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ביטחוני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Security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Clearance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tzf9087ommzc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מגייסים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אדמיניסטרציה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ולזרז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ממושכים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b7py7am3o9f1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a2pwm6yd9x1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לסיווג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וחיפוש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בסיווג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16gzabgdoz08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yowr61yfkv5x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רשימת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בסיווג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נוכחי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וחיפוש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שורתיות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שיכלול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שלח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טפסים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מחדש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zdqssrilxpfp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אוטומטי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שליחה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ומעקב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הפעלה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שליחת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טפסים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למילוי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המועמד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48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הגשת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טפסים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הביטחון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הטפסים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ליומן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אדמיניסטרטור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הטפסים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3: </w:t>
      </w:r>
      <w:r w:rsidDel="00000000" w:rsidR="00000000" w:rsidRPr="00000000">
        <w:rPr>
          <w:b w:val="1"/>
          <w:rtl w:val="1"/>
        </w:rPr>
        <w:t xml:space="preserve">תזמון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תחקיר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ביטחוני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לתחקיר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תזכורת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4: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סיווג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0"/>
        </w:rPr>
        <w:t xml:space="preserve">Approved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5: </w:t>
      </w:r>
      <w:r w:rsidDel="00000000" w:rsidR="00000000" w:rsidRPr="00000000">
        <w:rPr>
          <w:b w:val="1"/>
          <w:rtl w:val="1"/>
        </w:rPr>
        <w:t xml:space="preserve">תדרוך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החברה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תיעוד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התדרוך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6: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סופי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dchzfy5vrx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הסיווג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משויכת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ציר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סיווג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הטפסים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בתדרוך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מסמכים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פנימית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gs1vsvfqp5o9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SecurityClearance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formLink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submissionToMoDDate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interviewDate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qsoBriefingDate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clearanceLevel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כיווני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Outlook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Toasts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יישלחו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מתקרב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