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28jpwzn40je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סרגל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ניווט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צדדי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Sidebar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5whs924phdm2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רספונסיבית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eshdq3eosypj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מינימליסטית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למיתוג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רספונסיבי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hecygx2b3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תצוגה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דסקטופ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רחב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קיפול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ynavc9rpx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תצוגה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מובייל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וטאבלט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המבורגר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nx1qh8gbzrn5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מבנה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הסרגל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והנפוצים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לוגו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בינת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Experts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ליבה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 grid with nine squares]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 bar graph]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Job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Requisitions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[Icon of a building with multiple windows]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מאגר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CV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[Icon of a file with a person inside]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והזמנות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two buildings]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ספקים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 briefcase]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חוזים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ועובדים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 document with a signature]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מודולים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ייעודיים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סיווג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ביטחוני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 shield with a checkmark]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ופיתוח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 lightbulb]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 gear]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פורטל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an open box with an arrow]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פורטל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 group of people]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פורטל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[Icon of a person with a checkmark]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5p2bbt1rxeh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lucide-react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 Awesome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הרספונסיבי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