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kbzjnmoswdn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תשתית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ותחזוקת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המערכת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u68zl4sw0rx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נתונים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וגיבויים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Data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Management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Backups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wqvogzh8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GDPR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p3e8aslm5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פירוט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מלא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גיבויים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תדירות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Backups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יתבצעו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אחסון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יאוחסנו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מדיניות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הצפנת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לקצה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בתקשורת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Transit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HTTPS/TLS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באחסון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יוצפנו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נוהל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Disaster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Recovery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j2wyo3bbx7y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סביבת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פיתוח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ובדיקות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Development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ybzlf1b2c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ומאובטח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da2z7k8ls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פירוט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מלא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סביבות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נפרדות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Development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Staging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לקצה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Playwright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Integration/Continuous Deployment (CI/CD):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והייצור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tl6bvd7zqq1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מעקב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ולוגינג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Monitoring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Logging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mz5vx5aiv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ופרואקטיביות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kjssa9b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ופונקציונליות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פירוט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מלא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לוגינג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רישום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רישום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יירשמו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ניטור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ניטור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ומשאבים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ניטור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תצורות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-30%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