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6FAC" w14:textId="77777777" w:rsidR="0075379D" w:rsidRDefault="00F56BBF">
      <w:pPr>
        <w:spacing w:before="3800"/>
      </w:pPr>
      <w:r>
        <w:rPr>
          <w:noProof/>
        </w:rPr>
        <w:pict w14:anchorId="3AF6AD9E">
          <v:rect id="cover-tint" o:spid="_x0000_s1027" style="position:absolute;margin-left:0;margin-top:0;width:612pt;height:11in;z-index:-251658752;mso-position-horizontal:left;mso-position-horizontal-relative:page;mso-position-vertical:top;mso-position-vertical-relative:page" fillcolor="#f4f2ec" stroked="f">
            <w10:wrap anchorx="page" anchory="page"/>
          </v:rect>
        </w:pict>
      </w:r>
    </w:p>
    <w:p w14:paraId="2AE6D68D" w14:textId="77777777" w:rsidR="0075379D" w:rsidRDefault="00F31183">
      <w:pPr>
        <w:spacing w:after="120"/>
        <w:jc w:val="center"/>
      </w:pPr>
      <w:r>
        <w:rPr>
          <w:rFonts w:ascii="Arial" w:eastAsia="Arial" w:hAnsi="Arial" w:cs="Arial"/>
          <w:b/>
          <w:bCs/>
          <w:color w:val="1B2A4A"/>
          <w:sz w:val="52"/>
          <w:szCs w:val="52"/>
        </w:rPr>
        <w:t>CONSENSUS CHANGE STANDARDS</w:t>
      </w:r>
    </w:p>
    <w:p w14:paraId="74C1BA7B" w14:textId="77777777" w:rsidR="0075379D" w:rsidRDefault="00F31183">
      <w:pPr>
        <w:spacing w:after="800"/>
        <w:jc w:val="center"/>
      </w:pPr>
      <w:r>
        <w:rPr>
          <w:color w:val="555555"/>
          <w:sz w:val="32"/>
          <w:szCs w:val="32"/>
        </w:rPr>
        <w:t>A Legal and Technical Framework</w:t>
      </w:r>
      <w:r>
        <w:rPr>
          <w:color w:val="555555"/>
          <w:sz w:val="32"/>
          <w:szCs w:val="32"/>
        </w:rPr>
        <w:br/>
        <w:t>for Bitcoin Protocol Governance</w:t>
      </w:r>
    </w:p>
    <w:p w14:paraId="471C0A07" w14:textId="77777777" w:rsidR="0075379D" w:rsidRDefault="00F31183">
      <w:pPr>
        <w:pBdr>
          <w:top w:val="single" w:sz="6" w:space="20" w:color="F7931A"/>
        </w:pBdr>
        <w:spacing w:after="120"/>
        <w:jc w:val="center"/>
      </w:pPr>
      <w:r>
        <w:rPr>
          <w:rFonts w:ascii="Arial" w:eastAsia="Arial" w:hAnsi="Arial" w:cs="Arial"/>
          <w:b/>
          <w:bCs/>
          <w:color w:val="1B2A4A"/>
          <w:spacing w:val="80"/>
          <w:sz w:val="28"/>
          <w:szCs w:val="28"/>
        </w:rPr>
        <w:t>ASAF FULKS</w:t>
      </w:r>
    </w:p>
    <w:p w14:paraId="19B98670" w14:textId="77777777" w:rsidR="0075379D" w:rsidRDefault="00F31183">
      <w:pPr>
        <w:spacing w:after="40"/>
        <w:jc w:val="center"/>
      </w:pPr>
      <w:r>
        <w:rPr>
          <w:color w:val="555555"/>
          <w:sz w:val="22"/>
          <w:szCs w:val="22"/>
        </w:rPr>
        <w:t>California State Bar No. 343622  ·  Solo Bitcoin Miner  ·  Full Node Operator</w:t>
      </w:r>
    </w:p>
    <w:p w14:paraId="7D672CA2" w14:textId="77777777" w:rsidR="0075379D" w:rsidRDefault="00F31183">
      <w:pPr>
        <w:spacing w:after="1200"/>
        <w:jc w:val="center"/>
      </w:pPr>
      <w:r>
        <w:rPr>
          <w:color w:val="2E75B6"/>
          <w:sz w:val="22"/>
          <w:szCs w:val="22"/>
        </w:rPr>
        <w:t>asaffulkslaw.com</w:t>
      </w:r>
    </w:p>
    <w:p w14:paraId="7A283AA9" w14:textId="77777777" w:rsidR="0075379D" w:rsidRDefault="00F31183">
      <w:pPr>
        <w:spacing w:after="200"/>
        <w:jc w:val="center"/>
      </w:pPr>
      <w:r>
        <w:rPr>
          <w:noProof/>
        </w:rPr>
        <w:drawing>
          <wp:inline distT="0" distB="0" distL="0" distR="0" wp14:anchorId="699CC340" wp14:editId="3DFB5E45">
            <wp:extent cx="1097280" cy="1097280"/>
            <wp:effectExtent l="0" t="0" r="0" b="0"/>
            <wp:docPr id="2" name="Forum Pres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97280" cy="1097280"/>
                    </a:xfrm>
                    <a:prstGeom prst="rect">
                      <a:avLst/>
                    </a:prstGeom>
                  </pic:spPr>
                </pic:pic>
              </a:graphicData>
            </a:graphic>
          </wp:inline>
        </w:drawing>
      </w:r>
    </w:p>
    <w:p w14:paraId="745F5050" w14:textId="77777777" w:rsidR="0075379D" w:rsidRDefault="00F31183">
      <w:pPr>
        <w:jc w:val="center"/>
      </w:pPr>
      <w:r>
        <w:rPr>
          <w:i/>
          <w:iCs/>
          <w:color w:val="888888"/>
          <w:sz w:val="20"/>
          <w:szCs w:val="20"/>
        </w:rPr>
        <w:t>First Edition  ·  April 2026  ·  Revised May 2026</w:t>
      </w:r>
    </w:p>
    <w:p w14:paraId="07991510" w14:textId="77777777" w:rsidR="0075379D" w:rsidRDefault="00F31183">
      <w:r>
        <w:br w:type="page"/>
      </w:r>
    </w:p>
    <w:p w14:paraId="16C9AE01" w14:textId="77777777" w:rsidR="0075379D" w:rsidRDefault="0075379D">
      <w:pPr>
        <w:spacing w:before="2400"/>
      </w:pPr>
    </w:p>
    <w:p w14:paraId="52250FC3" w14:textId="77777777" w:rsidR="0075379D" w:rsidRDefault="00F31183">
      <w:pPr>
        <w:spacing w:after="400"/>
      </w:pPr>
      <w:r>
        <w:rPr>
          <w:b/>
          <w:bCs/>
          <w:color w:val="333333"/>
        </w:rPr>
        <w:t>Consensus Change Standards: A Legal and Technical Framework for Bitcoin Protocol Governance</w:t>
      </w:r>
    </w:p>
    <w:p w14:paraId="72DA9CE7" w14:textId="77777777" w:rsidR="0075379D" w:rsidRDefault="00F31183">
      <w:pPr>
        <w:spacing w:after="200"/>
      </w:pPr>
      <w:r>
        <w:rPr>
          <w:color w:val="555555"/>
          <w:sz w:val="22"/>
          <w:szCs w:val="22"/>
        </w:rPr>
        <w:t>First Edition — April 2026 (Revised May 2026)</w:t>
      </w:r>
    </w:p>
    <w:p w14:paraId="47C24DCB" w14:textId="77777777" w:rsidR="0075379D" w:rsidRDefault="00F31183">
      <w:pPr>
        <w:spacing w:after="80"/>
      </w:pPr>
      <w:r>
        <w:rPr>
          <w:color w:val="333333"/>
          <w:sz w:val="22"/>
          <w:szCs w:val="22"/>
        </w:rPr>
        <w:t>Author: Asaf Fulks, J.D.</w:t>
      </w:r>
    </w:p>
    <w:p w14:paraId="042F329A" w14:textId="77777777" w:rsidR="0075379D" w:rsidRDefault="00F31183">
      <w:pPr>
        <w:spacing w:after="80"/>
      </w:pPr>
      <w:r>
        <w:rPr>
          <w:color w:val="555555"/>
          <w:sz w:val="22"/>
          <w:szCs w:val="22"/>
        </w:rPr>
        <w:t>California State Bar No. 343622</w:t>
      </w:r>
    </w:p>
    <w:p w14:paraId="21B4E6DC" w14:textId="77777777" w:rsidR="0075379D" w:rsidRDefault="00F31183">
      <w:pPr>
        <w:spacing w:after="80"/>
      </w:pPr>
      <w:r>
        <w:rPr>
          <w:color w:val="555555"/>
          <w:sz w:val="22"/>
          <w:szCs w:val="22"/>
        </w:rPr>
        <w:t>Admitted, U.S. District Court, Central District of California</w:t>
      </w:r>
    </w:p>
    <w:p w14:paraId="34094024" w14:textId="77777777" w:rsidR="0075379D" w:rsidRDefault="00F31183">
      <w:pPr>
        <w:spacing w:after="300"/>
      </w:pPr>
      <w:r>
        <w:rPr>
          <w:color w:val="2E75B6"/>
          <w:sz w:val="22"/>
          <w:szCs w:val="22"/>
        </w:rPr>
        <w:t>asaffulkslaw.com</w:t>
      </w:r>
    </w:p>
    <w:p w14:paraId="61EE8416" w14:textId="77777777" w:rsidR="0075379D" w:rsidRDefault="00F31183">
      <w:pPr>
        <w:spacing w:after="80"/>
      </w:pPr>
      <w:r>
        <w:rPr>
          <w:color w:val="333333"/>
          <w:sz w:val="22"/>
          <w:szCs w:val="22"/>
        </w:rPr>
        <w:t>Published by The Forum Press, a Fulks, Inc. company</w:t>
      </w:r>
    </w:p>
    <w:p w14:paraId="164E261F" w14:textId="77777777" w:rsidR="0075379D" w:rsidRDefault="00F31183">
      <w:pPr>
        <w:spacing w:after="80"/>
      </w:pPr>
      <w:r>
        <w:rPr>
          <w:color w:val="555555"/>
          <w:sz w:val="22"/>
          <w:szCs w:val="22"/>
        </w:rPr>
        <w:t>California</w:t>
      </w:r>
    </w:p>
    <w:p w14:paraId="4F193CD7" w14:textId="77777777" w:rsidR="0075379D" w:rsidRDefault="00F31183">
      <w:pPr>
        <w:spacing w:after="300"/>
      </w:pPr>
      <w:r>
        <w:rPr>
          <w:color w:val="2E75B6"/>
          <w:sz w:val="22"/>
          <w:szCs w:val="22"/>
        </w:rPr>
        <w:t>theforumpress.com</w:t>
      </w:r>
    </w:p>
    <w:p w14:paraId="163FEC2F" w14:textId="77777777" w:rsidR="0075379D" w:rsidRDefault="00F31183">
      <w:pPr>
        <w:spacing w:after="200"/>
      </w:pPr>
      <w:r>
        <w:rPr>
          <w:noProof/>
        </w:rPr>
        <w:drawing>
          <wp:inline distT="0" distB="0" distL="0" distR="0" wp14:anchorId="1B948807" wp14:editId="2C33459E">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2D548604" w14:textId="77777777" w:rsidR="0075379D" w:rsidRDefault="0075379D">
      <w:pPr>
        <w:pBdr>
          <w:top w:val="single" w:sz="1" w:space="12" w:color="CCCCCC"/>
        </w:pBdr>
        <w:spacing w:after="60"/>
      </w:pPr>
    </w:p>
    <w:p w14:paraId="1EA6111C" w14:textId="77777777" w:rsidR="0075379D" w:rsidRDefault="00F31183">
      <w:pPr>
        <w:spacing w:after="200"/>
      </w:pPr>
      <w:r>
        <w:rPr>
          <w:b/>
          <w:bCs/>
          <w:color w:val="333333"/>
          <w:sz w:val="22"/>
          <w:szCs w:val="22"/>
        </w:rPr>
        <w:t xml:space="preserve">License: </w:t>
      </w:r>
      <w:r>
        <w:rPr>
          <w:color w:val="333333"/>
          <w:sz w:val="22"/>
          <w:szCs w:val="22"/>
        </w:rPr>
        <w:t>Creative Commons Attribution 4.0 International (CC BY 4.0)</w:t>
      </w:r>
    </w:p>
    <w:p w14:paraId="63EB27DA" w14:textId="77777777" w:rsidR="0075379D" w:rsidRDefault="00F31183">
      <w:pPr>
        <w:spacing w:after="200" w:line="312" w:lineRule="auto"/>
        <w:jc w:val="both"/>
      </w:pPr>
      <w:r>
        <w:rPr>
          <w:color w:val="333333"/>
        </w:rPr>
        <w:t>You are free to share, copy, redistribute, adapt, remix, transform, and build upon this work for any purpose, including commercial use, provided you give appropriate credit to the author, indicate if changes were made, and do not suggest the author endorses your use.</w:t>
      </w:r>
    </w:p>
    <w:p w14:paraId="4F64B760" w14:textId="77777777" w:rsidR="0075379D" w:rsidRDefault="00F31183">
      <w:pPr>
        <w:spacing w:after="200"/>
      </w:pPr>
      <w:r>
        <w:rPr>
          <w:color w:val="2E75B6"/>
          <w:sz w:val="20"/>
          <w:szCs w:val="20"/>
        </w:rPr>
        <w:t>Full license terms: creativecommons.org/licenses/by/4.0</w:t>
      </w:r>
    </w:p>
    <w:p w14:paraId="65DBCE44" w14:textId="77777777" w:rsidR="0075379D" w:rsidRDefault="0075379D">
      <w:pPr>
        <w:pBdr>
          <w:top w:val="single" w:sz="1" w:space="12" w:color="CCCCCC"/>
        </w:pBdr>
        <w:spacing w:after="60"/>
      </w:pPr>
    </w:p>
    <w:p w14:paraId="3C84F23A" w14:textId="77777777" w:rsidR="0075379D" w:rsidRDefault="00F31183">
      <w:pPr>
        <w:spacing w:after="200"/>
      </w:pPr>
      <w:r>
        <w:rPr>
          <w:b/>
          <w:bCs/>
          <w:color w:val="333333"/>
          <w:sz w:val="22"/>
          <w:szCs w:val="22"/>
        </w:rPr>
        <w:t xml:space="preserve">Available at: </w:t>
      </w:r>
      <w:r>
        <w:rPr>
          <w:color w:val="2E75B6"/>
          <w:sz w:val="22"/>
          <w:szCs w:val="22"/>
        </w:rPr>
        <w:t>asaffulkslaw.com</w:t>
      </w:r>
    </w:p>
    <w:p w14:paraId="534D67A5" w14:textId="77777777" w:rsidR="0075379D" w:rsidRDefault="00F31183">
      <w:pPr>
        <w:spacing w:after="200" w:line="312" w:lineRule="auto"/>
        <w:jc w:val="both"/>
      </w:pPr>
      <w:r>
        <w:rPr>
          <w:color w:val="333333"/>
        </w:rPr>
        <w:t>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14:paraId="5B8E1735" w14:textId="77777777" w:rsidR="0075379D" w:rsidRDefault="00F31183">
      <w:pPr>
        <w:spacing w:after="200" w:line="312" w:lineRule="auto"/>
        <w:jc w:val="both"/>
      </w:pPr>
      <w:r>
        <w:rPr>
          <w:color w:val="333333"/>
        </w:rPr>
        <w:t>Bitcoin is an experimental technology. This document does not recommend for or against any particular consensus change proposal, including BIP-110.</w:t>
      </w:r>
    </w:p>
    <w:p w14:paraId="751D262A" w14:textId="77777777" w:rsidR="0075379D" w:rsidRDefault="0075379D">
      <w:pPr>
        <w:sectPr w:rsidR="0075379D">
          <w:pgSz w:w="12240" w:h="15840"/>
          <w:pgMar w:top="1440" w:right="1440" w:bottom="1440" w:left="1440" w:header="708" w:footer="708" w:gutter="0"/>
          <w:cols w:space="720"/>
          <w:docGrid w:linePitch="360"/>
        </w:sectPr>
      </w:pPr>
    </w:p>
    <w:p w14:paraId="7A4E1842" w14:textId="77777777" w:rsidR="0075379D" w:rsidRDefault="00F31183">
      <w:r>
        <w:lastRenderedPageBreak/>
        <w:br w:type="page"/>
      </w:r>
    </w:p>
    <w:p w14:paraId="210597AF" w14:textId="77777777" w:rsidR="0075379D" w:rsidRDefault="00F31183">
      <w:pPr>
        <w:pStyle w:val="Heading1"/>
      </w:pPr>
      <w:r>
        <w:t>ABSTRACT</w:t>
      </w:r>
    </w:p>
    <w:p w14:paraId="6E98EA37" w14:textId="77777777" w:rsidR="0075379D" w:rsidRDefault="00F31183">
      <w:pPr>
        <w:spacing w:after="200" w:line="312" w:lineRule="auto"/>
        <w:jc w:val="both"/>
      </w:pPr>
      <w:r>
        <w:rPr>
          <w:color w:val="333333"/>
        </w:rPr>
        <w:t>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14:paraId="7B5E316B" w14:textId="77777777" w:rsidR="0075379D" w:rsidRDefault="00F31183">
      <w:pPr>
        <w:spacing w:after="200" w:line="312" w:lineRule="auto"/>
        <w:jc w:val="both"/>
      </w:pPr>
      <w:r>
        <w:rPr>
          <w:color w:val="333333"/>
        </w:rPr>
        <w:t>This absence of standards has produced predictable results. The block size wars of 2015–2017 consumed years of developer time, fractured the community, and produced a contentious hard fork. The SegWit activation depended on the credible threat of a novel and untested User Activated Soft Fork (UASF) — BIP-148 — to break a deadlock that had persisted for eight months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Knots releases on node management platforms, with no risk disclosure or visual differentiation to indicate that selecting it would alter the node’s consensus behavior.</w:t>
      </w:r>
    </w:p>
    <w:p w14:paraId="679AD65F" w14:textId="77777777" w:rsidR="0075379D" w:rsidRDefault="00F31183">
      <w:pPr>
        <w:spacing w:after="200" w:line="312" w:lineRule="auto"/>
        <w:jc w:val="both"/>
      </w:pPr>
      <w:r>
        <w:rPr>
          <w:color w:val="333333"/>
        </w:rPr>
        <w:t>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14:paraId="3A1EE822" w14:textId="77777777" w:rsidR="0075379D" w:rsidRDefault="00F31183">
      <w:pPr>
        <w:spacing w:after="200" w:line="312" w:lineRule="auto"/>
        <w:jc w:val="both"/>
      </w:pPr>
      <w:r>
        <w:rPr>
          <w:color w:val="333333"/>
        </w:rPr>
        <w:t>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14:paraId="4EBC3039" w14:textId="77777777" w:rsidR="0075379D" w:rsidRDefault="00F31183">
      <w:r>
        <w:br w:type="page"/>
      </w:r>
    </w:p>
    <w:p w14:paraId="2492ECAD" w14:textId="77777777" w:rsidR="0075379D" w:rsidRDefault="00F31183">
      <w:pPr>
        <w:pStyle w:val="Heading1"/>
      </w:pPr>
      <w:r>
        <w:t>SECTION 1: THE PROBLEM</w:t>
      </w:r>
    </w:p>
    <w:p w14:paraId="338E66E4" w14:textId="77777777" w:rsidR="0075379D" w:rsidRDefault="00F31183">
      <w:pPr>
        <w:pStyle w:val="Heading2"/>
      </w:pPr>
      <w:r>
        <w:t>1.1 The Absence of Standards</w:t>
      </w:r>
    </w:p>
    <w:p w14:paraId="790DFB96" w14:textId="77777777" w:rsidR="0075379D" w:rsidRDefault="00F31183">
      <w:pPr>
        <w:spacing w:after="200" w:line="312" w:lineRule="auto"/>
        <w:jc w:val="both"/>
      </w:pPr>
      <w:r>
        <w:rPr>
          <w:color w:val="333333"/>
        </w:rPr>
        <w:t>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14:paraId="2879A3A1" w14:textId="77777777" w:rsidR="0075379D" w:rsidRDefault="00F31183">
      <w:pPr>
        <w:spacing w:after="200" w:line="312" w:lineRule="auto"/>
        <w:jc w:val="both"/>
      </w:pPr>
      <w:r>
        <w:rPr>
          <w:color w:val="333333"/>
        </w:rPr>
        <w:t>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14:paraId="5D870DF6" w14:textId="77777777" w:rsidR="0075379D" w:rsidRDefault="00F31183">
      <w:pPr>
        <w:spacing w:after="200" w:line="312" w:lineRule="auto"/>
        <w:jc w:val="both"/>
      </w:pPr>
      <w:r>
        <w:rPr>
          <w:color w:val="333333"/>
        </w:rPr>
        <w:t>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14:paraId="212F723B" w14:textId="77777777" w:rsidR="0075379D" w:rsidRDefault="00F31183">
      <w:pPr>
        <w:pStyle w:val="Heading2"/>
      </w:pPr>
      <w:r>
        <w:t>1.2 BIP-110 as Case Study</w:t>
      </w:r>
    </w:p>
    <w:p w14:paraId="343E0F6F" w14:textId="77777777" w:rsidR="0075379D" w:rsidRDefault="00F31183">
      <w:pPr>
        <w:spacing w:after="200" w:line="312" w:lineRule="auto"/>
        <w:jc w:val="both"/>
      </w:pPr>
      <w:r>
        <w:rPr>
          <w:color w:val="333333"/>
        </w:rPr>
        <w:t>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14:paraId="4BE2F289" w14:textId="77777777" w:rsidR="0075379D" w:rsidRDefault="00F31183">
      <w:pPr>
        <w:spacing w:after="200" w:line="312" w:lineRule="auto"/>
        <w:jc w:val="both"/>
      </w:pPr>
      <w:r>
        <w:rPr>
          <w:color w:val="333333"/>
        </w:rPr>
        <w:t>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14:paraId="5C7F4A1C" w14:textId="77777777" w:rsidR="0075379D" w:rsidRDefault="00F31183">
      <w:pPr>
        <w:spacing w:after="200" w:line="312" w:lineRule="auto"/>
        <w:jc w:val="both"/>
      </w:pPr>
      <w:r>
        <w:rPr>
          <w:b/>
          <w:bCs/>
          <w:color w:val="333333"/>
        </w:rPr>
        <w:t>Activation threshold.</w:t>
      </w:r>
      <w:r>
        <w:rPr>
          <w:color w:val="333333"/>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signaling threshold provides no assurance that the share of hashrate enforcing the new rules at activation will exceed 55%; the remainder may continue producing blocks valid under the legacy rules but invalid under the new ones. Signaling at lock-in is not equivalent to enforcement at activation, and the divergence between the two is precisely the mechanism by which low-threshold soft forks produce persistent minority chains. This is not a theoretical risk — it is a recipe for a chain split.</w:t>
      </w:r>
    </w:p>
    <w:p w14:paraId="1A4AF3EF" w14:textId="77777777" w:rsidR="0075379D" w:rsidRDefault="00F31183">
      <w:pPr>
        <w:spacing w:after="200" w:line="312" w:lineRule="auto"/>
        <w:jc w:val="both"/>
      </w:pPr>
      <w:r>
        <w:rPr>
          <w:b/>
          <w:bCs/>
          <w:color w:val="333333"/>
        </w:rPr>
        <w:t>Code quality.</w:t>
      </w:r>
      <w:r>
        <w:rPr>
          <w:color w:val="333333"/>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Public commentary from reviewers raised concerns about the code’s structure and quality; whatever tools or methods were used to produce it, the activation client did not receive the level of independent review that consensus-critical software demands. An activation client for a consensus change affecting a trillion-dollar network was released without the review burden customary for consensus-critical software.</w:t>
      </w:r>
    </w:p>
    <w:p w14:paraId="487CD08B" w14:textId="77777777" w:rsidR="0075379D" w:rsidRDefault="00F31183">
      <w:pPr>
        <w:spacing w:after="200" w:line="312" w:lineRule="auto"/>
        <w:jc w:val="both"/>
      </w:pPr>
      <w:r>
        <w:rPr>
          <w:b/>
          <w:bCs/>
          <w:color w:val="333333"/>
        </w:rPr>
        <w:t>Review period.</w:t>
      </w:r>
      <w:r>
        <w:rPr>
          <w:color w:val="333333"/>
        </w:rPr>
        <w:t xml:space="preserve"> From initial proposal to release of the activation client, BIP-110 moved through the pipeline in approximately six weeks — from the initial bitcoin-dev mailing list post on 26 October 2025 to release of the first activation client (v0.1rc1) on 10 December 2025. By comparison, SegWit was proposed in December 2015 and did not activate until August 2017 — a twenty-month process. Taproot was first proposed in January 2018 and activated in November 2021 — nearly four years. Six weeks is not a review period. It is a rush to deployment.</w:t>
      </w:r>
    </w:p>
    <w:p w14:paraId="77595197" w14:textId="77777777" w:rsidR="0075379D" w:rsidRDefault="00F31183">
      <w:pPr>
        <w:spacing w:after="200" w:line="312" w:lineRule="auto"/>
        <w:jc w:val="both"/>
      </w:pPr>
      <w:r>
        <w:rPr>
          <w:b/>
          <w:bCs/>
          <w:color w:val="333333"/>
        </w:rPr>
        <w:t>Activation client distribution.</w:t>
      </w:r>
      <w:r>
        <w:rPr>
          <w:color w:val="333333"/>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14:paraId="389BF9AE" w14:textId="77777777" w:rsidR="0075379D" w:rsidRDefault="00F31183">
      <w:pPr>
        <w:spacing w:after="200" w:line="312" w:lineRule="auto"/>
        <w:jc w:val="both"/>
      </w:pPr>
      <w:r>
        <w:rPr>
          <w:b/>
          <w:bCs/>
          <w:color w:val="333333"/>
        </w:rPr>
        <w:t>Sunset mechanism.</w:t>
      </w:r>
      <w:r>
        <w:rPr>
          <w:color w:val="333333"/>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14:paraId="52C64A5F" w14:textId="77777777" w:rsidR="0075379D" w:rsidRDefault="00F31183">
      <w:pPr>
        <w:pStyle w:val="Heading2"/>
      </w:pPr>
      <w:r>
        <w:t>1.3 The Stakes</w:t>
      </w:r>
    </w:p>
    <w:p w14:paraId="1C200744" w14:textId="77777777" w:rsidR="0075379D" w:rsidRDefault="00F31183">
      <w:pPr>
        <w:spacing w:after="200" w:line="312" w:lineRule="auto"/>
        <w:jc w:val="both"/>
      </w:pPr>
      <w:r>
        <w:rPr>
          <w:color w:val="333333"/>
        </w:rPr>
        <w:t>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14:paraId="13C36CA2" w14:textId="77777777" w:rsidR="0075379D" w:rsidRDefault="00F31183">
      <w:pPr>
        <w:spacing w:after="200" w:line="312" w:lineRule="auto"/>
        <w:jc w:val="both"/>
      </w:pPr>
      <w:r>
        <w:rPr>
          <w:color w:val="333333"/>
        </w:rPr>
        <w:t>The most recent significant chain split without replay protection occurred in March 2013, when a database incompatibility between Bitcoin versions 0.7 and 0.8 caused a six-hour fork that included a successful double-spend attack (the technical post-mortem is BIP-50). The 2017 SegWit2x proposal came within days of producing another before being called off. The Bitcoin community has been fortunate. Fortune is not a governance strategy.</w:t>
      </w:r>
    </w:p>
    <w:p w14:paraId="4B2B4DC8" w14:textId="77777777" w:rsidR="0075379D" w:rsidRDefault="00F31183">
      <w:r>
        <w:br w:type="page"/>
      </w:r>
    </w:p>
    <w:p w14:paraId="5753BDB5" w14:textId="77777777" w:rsidR="0075379D" w:rsidRDefault="00F31183">
      <w:pPr>
        <w:pStyle w:val="Heading1"/>
      </w:pPr>
      <w:r>
        <w:t>SECTION 2: HISTORICAL PRECEDENT</w:t>
      </w:r>
    </w:p>
    <w:p w14:paraId="42A1B09B" w14:textId="77777777" w:rsidR="0075379D" w:rsidRDefault="00F31183">
      <w:pPr>
        <w:spacing w:after="200" w:line="312" w:lineRule="auto"/>
        <w:jc w:val="both"/>
      </w:pPr>
      <w:r>
        <w:rPr>
          <w:color w:val="333333"/>
        </w:rPr>
        <w:t>Bitcoin has undergone numerous consensus changes since its creation in 2009. The most significant of these provide instructive precedent for establishing governance standards.</w:t>
      </w:r>
    </w:p>
    <w:p w14:paraId="5000FAB5" w14:textId="77777777" w:rsidR="0075379D" w:rsidRDefault="00F31183">
      <w:pPr>
        <w:pStyle w:val="Heading2"/>
      </w:pPr>
      <w:r>
        <w:t>2.1 P2SH (BIP-16) — 2012</w:t>
      </w:r>
    </w:p>
    <w:p w14:paraId="509EC7C5" w14:textId="77777777" w:rsidR="0075379D" w:rsidRDefault="00F31183">
      <w:pPr>
        <w:spacing w:after="200" w:line="312" w:lineRule="auto"/>
        <w:jc w:val="both"/>
      </w:pPr>
      <w:r>
        <w:rPr>
          <w:color w:val="333333"/>
        </w:rPr>
        <w:t>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14:paraId="7662BE7C" w14:textId="77777777" w:rsidR="0075379D" w:rsidRDefault="00F31183">
      <w:pPr>
        <w:spacing w:after="200" w:line="312" w:lineRule="auto"/>
        <w:jc w:val="both"/>
      </w:pPr>
      <w:r>
        <w:rPr>
          <w:b/>
          <w:bCs/>
          <w:color w:val="333333"/>
        </w:rPr>
        <w:t>Lesson:</w:t>
      </w:r>
      <w:r>
        <w:rPr>
          <w:color w:val="333333"/>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14:paraId="453286CB" w14:textId="77777777" w:rsidR="0075379D" w:rsidRDefault="00F31183">
      <w:pPr>
        <w:pStyle w:val="Heading2"/>
      </w:pPr>
      <w:r>
        <w:t>2.2 The Block Size Wars (2015–2017)</w:t>
      </w:r>
    </w:p>
    <w:p w14:paraId="3E69FB61" w14:textId="77777777" w:rsidR="0075379D" w:rsidRDefault="00F31183">
      <w:pPr>
        <w:spacing w:after="200" w:line="312" w:lineRule="auto"/>
        <w:jc w:val="both"/>
      </w:pPr>
      <w:r>
        <w:rPr>
          <w:color w:val="333333"/>
        </w:rPr>
        <w:t>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14:paraId="02DD85B8" w14:textId="77777777" w:rsidR="0075379D" w:rsidRDefault="00F31183">
      <w:pPr>
        <w:spacing w:after="200" w:line="312" w:lineRule="auto"/>
        <w:jc w:val="both"/>
      </w:pPr>
      <w:r>
        <w:rPr>
          <w:color w:val="333333"/>
        </w:rPr>
        <w:t>The block size wars demonstrated several principles that any governance framework must account for:</w:t>
      </w:r>
    </w:p>
    <w:p w14:paraId="075F9048" w14:textId="77777777" w:rsidR="0075379D" w:rsidRDefault="00F31183">
      <w:pPr>
        <w:spacing w:after="200" w:line="312" w:lineRule="auto"/>
        <w:jc w:val="both"/>
      </w:pPr>
      <w:r>
        <w:rPr>
          <w:b/>
          <w:bCs/>
          <w:color w:val="333333"/>
        </w:rPr>
        <w:t>Miner signaling is unreliable as a measure of community consensus.</w:t>
      </w:r>
      <w:r>
        <w:rPr>
          <w:color w:val="333333"/>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14:paraId="782EC29E" w14:textId="77777777" w:rsidR="0075379D" w:rsidRDefault="00F31183">
      <w:pPr>
        <w:spacing w:after="200" w:line="312" w:lineRule="auto"/>
        <w:jc w:val="both"/>
      </w:pPr>
      <w:r>
        <w:rPr>
          <w:b/>
          <w:bCs/>
          <w:color w:val="333333"/>
        </w:rPr>
        <w:t>Economic nodes matter more than hashrate.</w:t>
      </w:r>
      <w:r>
        <w:rPr>
          <w:color w:val="333333"/>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14:paraId="34ED1B87" w14:textId="77777777" w:rsidR="0075379D" w:rsidRDefault="00F31183">
      <w:pPr>
        <w:spacing w:after="200" w:line="312" w:lineRule="auto"/>
        <w:jc w:val="both"/>
      </w:pPr>
      <w:r>
        <w:rPr>
          <w:b/>
          <w:bCs/>
          <w:color w:val="333333"/>
        </w:rPr>
        <w:t>Hard forks are permanent and expensive.</w:t>
      </w:r>
      <w:r>
        <w:rPr>
          <w:color w:val="333333"/>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14:paraId="0745E995" w14:textId="77777777" w:rsidR="0075379D" w:rsidRDefault="00F31183">
      <w:pPr>
        <w:pStyle w:val="Heading2"/>
      </w:pPr>
      <w:r>
        <w:t>2.3 SegWit (BIP-141) — 2017</w:t>
      </w:r>
    </w:p>
    <w:p w14:paraId="201E9CF2" w14:textId="77777777" w:rsidR="0075379D" w:rsidRDefault="00F31183">
      <w:pPr>
        <w:spacing w:after="200" w:line="312" w:lineRule="auto"/>
        <w:jc w:val="both"/>
      </w:pPr>
      <w:r>
        <w:rPr>
          <w:color w:val="333333"/>
        </w:rPr>
        <w:t>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14:paraId="5177C302" w14:textId="77777777" w:rsidR="0075379D" w:rsidRDefault="00F31183">
      <w:pPr>
        <w:spacing w:after="200" w:line="312" w:lineRule="auto"/>
        <w:jc w:val="both"/>
      </w:pPr>
      <w:r>
        <w:rPr>
          <w:color w:val="333333"/>
        </w:rPr>
        <w:t>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14:paraId="7A810E6C" w14:textId="77777777" w:rsidR="0075379D" w:rsidRDefault="00F31183">
      <w:pPr>
        <w:spacing w:after="200" w:line="312" w:lineRule="auto"/>
        <w:jc w:val="both"/>
      </w:pPr>
      <w:r>
        <w:rPr>
          <w:b/>
          <w:bCs/>
          <w:color w:val="333333"/>
        </w:rPr>
        <w:t>Lesson:</w:t>
      </w:r>
      <w:r>
        <w:rPr>
          <w:color w:val="333333"/>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14:paraId="44133840" w14:textId="77777777" w:rsidR="0075379D" w:rsidRDefault="00F31183">
      <w:pPr>
        <w:pStyle w:val="Heading2"/>
      </w:pPr>
      <w:r>
        <w:t>2.4 Taproot (BIP-340/341/342) — 2021</w:t>
      </w:r>
    </w:p>
    <w:p w14:paraId="3061C232" w14:textId="77777777" w:rsidR="0075379D" w:rsidRDefault="00F31183">
      <w:pPr>
        <w:spacing w:after="200" w:line="312" w:lineRule="auto"/>
        <w:jc w:val="both"/>
      </w:pPr>
      <w:r>
        <w:rPr>
          <w:color w:val="333333"/>
        </w:rPr>
        <w:t>Taproot is the gold standard for Bitcoin consensus change governance. Its design was first floated on the bitcoin-dev mailing list in January 2018 and formally specified in BIPs 340, 341, and 342 in 2020; it then underwent years of review, extensive formal analysis of its cryptographic primitives (Schnorr signatures), multiple rounds of community feedback, and a novel activation mechanism (Speedy Trial) that provided a defined three-month signaling window with a built-in timeout. The selection of Speedy Trial over BIP-8 with LOT=true and BIP-8 with LOT=false reflected an extended bitcoin-dev mailing list debate over the appropriate balance between activation speed, miner authority, and economic-node authority.</w:t>
      </w:r>
    </w:p>
    <w:p w14:paraId="3163D4ED" w14:textId="77777777" w:rsidR="0075379D" w:rsidRDefault="00F31183">
      <w:pPr>
        <w:spacing w:after="200" w:line="312" w:lineRule="auto"/>
        <w:jc w:val="both"/>
      </w:pPr>
      <w:r>
        <w:rPr>
          <w:color w:val="333333"/>
        </w:rPr>
        <w:t>Taproot activated in November 2021 with 90% miner signaling within the Speedy Trial window. There was no chain split, no community fracture, and no economic disruption.</w:t>
      </w:r>
    </w:p>
    <w:p w14:paraId="5DEC5CFD" w14:textId="77777777" w:rsidR="0075379D" w:rsidRDefault="00F31183">
      <w:pPr>
        <w:spacing w:after="200" w:line="312" w:lineRule="auto"/>
        <w:jc w:val="both"/>
      </w:pPr>
      <w:r>
        <w:rPr>
          <w:b/>
          <w:bCs/>
          <w:color w:val="333333"/>
        </w:rPr>
        <w:t>Lesson:</w:t>
      </w:r>
      <w:r>
        <w:rPr>
          <w:color w:val="333333"/>
        </w:rPr>
        <w:t xml:space="preserve"> Patience works. Review works. High thresholds work. Defined timelines with built-in failure modes work. Every element that made Taproot’s activation successful was absent from BIP-110.</w:t>
      </w:r>
    </w:p>
    <w:p w14:paraId="4FB84E65" w14:textId="77777777" w:rsidR="0075379D" w:rsidRDefault="00F31183">
      <w:pPr>
        <w:pStyle w:val="Heading2"/>
      </w:pPr>
      <w:r>
        <w:t>2.5 Summary of Activation Parameters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800"/>
        <w:gridCol w:w="1960"/>
      </w:tblGrid>
      <w:tr w:rsidR="009D4573" w14:paraId="0361BB78" w14:textId="77777777">
        <w:tc>
          <w:tcPr>
            <w:tcW w:w="2200" w:type="dxa"/>
            <w:shd w:val="clear" w:color="auto" w:fill="1B2A4A"/>
            <w:tcMar>
              <w:top w:w="80" w:type="dxa"/>
              <w:left w:w="120" w:type="dxa"/>
              <w:bottom w:w="80" w:type="dxa"/>
              <w:right w:w="120" w:type="dxa"/>
            </w:tcMar>
            <w:vAlign w:val="center"/>
          </w:tcPr>
          <w:p w14:paraId="6CA45586" w14:textId="77777777" w:rsidR="0075379D" w:rsidRDefault="00F31183">
            <w:r>
              <w:rPr>
                <w:rFonts w:ascii="Arial" w:eastAsia="Arial" w:hAnsi="Arial" w:cs="Arial"/>
                <w:b/>
                <w:bCs/>
                <w:color w:val="FFFFFF"/>
                <w:sz w:val="18"/>
                <w:szCs w:val="18"/>
              </w:rPr>
              <w:t>Proposal</w:t>
            </w:r>
          </w:p>
        </w:tc>
        <w:tc>
          <w:tcPr>
            <w:tcW w:w="1800" w:type="dxa"/>
            <w:shd w:val="clear" w:color="auto" w:fill="1B2A4A"/>
            <w:tcMar>
              <w:top w:w="80" w:type="dxa"/>
              <w:left w:w="120" w:type="dxa"/>
              <w:bottom w:w="80" w:type="dxa"/>
              <w:right w:w="120" w:type="dxa"/>
            </w:tcMar>
            <w:vAlign w:val="center"/>
          </w:tcPr>
          <w:p w14:paraId="7771F7E7" w14:textId="77777777" w:rsidR="0075379D" w:rsidRDefault="00F31183">
            <w:r>
              <w:rPr>
                <w:rFonts w:ascii="Arial" w:eastAsia="Arial" w:hAnsi="Arial" w:cs="Arial"/>
                <w:b/>
                <w:bCs/>
                <w:color w:val="FFFFFF"/>
                <w:sz w:val="18"/>
                <w:szCs w:val="18"/>
              </w:rPr>
              <w:t>Threshold</w:t>
            </w:r>
          </w:p>
        </w:tc>
        <w:tc>
          <w:tcPr>
            <w:tcW w:w="1600" w:type="dxa"/>
            <w:shd w:val="clear" w:color="auto" w:fill="1B2A4A"/>
            <w:tcMar>
              <w:top w:w="80" w:type="dxa"/>
              <w:left w:w="120" w:type="dxa"/>
              <w:bottom w:w="80" w:type="dxa"/>
              <w:right w:w="120" w:type="dxa"/>
            </w:tcMar>
            <w:vAlign w:val="center"/>
          </w:tcPr>
          <w:p w14:paraId="6A404D6E" w14:textId="77777777" w:rsidR="0075379D" w:rsidRDefault="00F31183">
            <w:r>
              <w:rPr>
                <w:rFonts w:ascii="Arial" w:eastAsia="Arial" w:hAnsi="Arial" w:cs="Arial"/>
                <w:b/>
                <w:bCs/>
                <w:color w:val="FFFFFF"/>
                <w:sz w:val="18"/>
                <w:szCs w:val="18"/>
              </w:rPr>
              <w:t>Review Period</w:t>
            </w:r>
          </w:p>
        </w:tc>
        <w:tc>
          <w:tcPr>
            <w:tcW w:w="1800" w:type="dxa"/>
            <w:shd w:val="clear" w:color="auto" w:fill="1B2A4A"/>
            <w:tcMar>
              <w:top w:w="80" w:type="dxa"/>
              <w:left w:w="120" w:type="dxa"/>
              <w:bottom w:w="80" w:type="dxa"/>
              <w:right w:w="120" w:type="dxa"/>
            </w:tcMar>
            <w:vAlign w:val="center"/>
          </w:tcPr>
          <w:p w14:paraId="3FE7602F" w14:textId="77777777" w:rsidR="0075379D" w:rsidRDefault="00F31183">
            <w:r>
              <w:rPr>
                <w:rFonts w:ascii="Arial" w:eastAsia="Arial" w:hAnsi="Arial" w:cs="Arial"/>
                <w:b/>
                <w:bCs/>
                <w:color w:val="FFFFFF"/>
                <w:sz w:val="18"/>
                <w:szCs w:val="18"/>
              </w:rPr>
              <w:t>Mechanism</w:t>
            </w:r>
          </w:p>
        </w:tc>
        <w:tc>
          <w:tcPr>
            <w:tcW w:w="1960" w:type="dxa"/>
            <w:shd w:val="clear" w:color="auto" w:fill="1B2A4A"/>
            <w:tcMar>
              <w:top w:w="80" w:type="dxa"/>
              <w:left w:w="120" w:type="dxa"/>
              <w:bottom w:w="80" w:type="dxa"/>
              <w:right w:w="120" w:type="dxa"/>
            </w:tcMar>
            <w:vAlign w:val="center"/>
          </w:tcPr>
          <w:p w14:paraId="2A61C224" w14:textId="77777777" w:rsidR="0075379D" w:rsidRDefault="00F31183">
            <w:r>
              <w:rPr>
                <w:rFonts w:ascii="Arial" w:eastAsia="Arial" w:hAnsi="Arial" w:cs="Arial"/>
                <w:b/>
                <w:bCs/>
                <w:color w:val="FFFFFF"/>
                <w:sz w:val="18"/>
                <w:szCs w:val="18"/>
              </w:rPr>
              <w:t>Outcome</w:t>
            </w:r>
          </w:p>
        </w:tc>
      </w:tr>
      <w:tr w:rsidR="009D4573" w14:paraId="15758C73" w14:textId="77777777">
        <w:tc>
          <w:tcPr>
            <w:tcW w:w="2200" w:type="dxa"/>
            <w:tcMar>
              <w:top w:w="80" w:type="dxa"/>
              <w:left w:w="120" w:type="dxa"/>
              <w:bottom w:w="80" w:type="dxa"/>
              <w:right w:w="120" w:type="dxa"/>
            </w:tcMar>
          </w:tcPr>
          <w:p w14:paraId="57619CA5" w14:textId="77777777" w:rsidR="0075379D" w:rsidRDefault="00F31183">
            <w:r>
              <w:rPr>
                <w:color w:val="333333"/>
                <w:sz w:val="18"/>
                <w:szCs w:val="18"/>
              </w:rPr>
              <w:t>P2SH (2012)</w:t>
            </w:r>
          </w:p>
        </w:tc>
        <w:tc>
          <w:tcPr>
            <w:tcW w:w="1800" w:type="dxa"/>
            <w:tcMar>
              <w:top w:w="80" w:type="dxa"/>
              <w:left w:w="120" w:type="dxa"/>
              <w:bottom w:w="80" w:type="dxa"/>
              <w:right w:w="120" w:type="dxa"/>
            </w:tcMar>
          </w:tcPr>
          <w:p w14:paraId="56C34CAB" w14:textId="77777777" w:rsidR="0075379D" w:rsidRDefault="00F31183">
            <w:r>
              <w:rPr>
                <w:color w:val="333333"/>
                <w:sz w:val="18"/>
                <w:szCs w:val="18"/>
              </w:rPr>
              <w:t>55%</w:t>
            </w:r>
          </w:p>
        </w:tc>
        <w:tc>
          <w:tcPr>
            <w:tcW w:w="1600" w:type="dxa"/>
            <w:tcMar>
              <w:top w:w="80" w:type="dxa"/>
              <w:left w:w="120" w:type="dxa"/>
              <w:bottom w:w="80" w:type="dxa"/>
              <w:right w:w="120" w:type="dxa"/>
            </w:tcMar>
          </w:tcPr>
          <w:p w14:paraId="1D611716" w14:textId="77777777" w:rsidR="0075379D" w:rsidRDefault="00F31183">
            <w:r>
              <w:rPr>
                <w:color w:val="333333"/>
                <w:sz w:val="18"/>
                <w:szCs w:val="18"/>
              </w:rPr>
              <w:t>~3 months</w:t>
            </w:r>
          </w:p>
        </w:tc>
        <w:tc>
          <w:tcPr>
            <w:tcW w:w="1800" w:type="dxa"/>
            <w:tcMar>
              <w:top w:w="80" w:type="dxa"/>
              <w:left w:w="120" w:type="dxa"/>
              <w:bottom w:w="80" w:type="dxa"/>
              <w:right w:w="120" w:type="dxa"/>
            </w:tcMar>
          </w:tcPr>
          <w:p w14:paraId="30BF6E1A" w14:textId="77777777" w:rsidR="0075379D" w:rsidRDefault="00F31183">
            <w:r>
              <w:rPr>
                <w:color w:val="333333"/>
                <w:sz w:val="18"/>
                <w:szCs w:val="18"/>
              </w:rPr>
              <w:t>Coinbase signal + flag day</w:t>
            </w:r>
          </w:p>
        </w:tc>
        <w:tc>
          <w:tcPr>
            <w:tcW w:w="1960" w:type="dxa"/>
            <w:tcMar>
              <w:top w:w="80" w:type="dxa"/>
              <w:left w:w="120" w:type="dxa"/>
              <w:bottom w:w="80" w:type="dxa"/>
              <w:right w:w="120" w:type="dxa"/>
            </w:tcMar>
          </w:tcPr>
          <w:p w14:paraId="3AEF9D62" w14:textId="77777777" w:rsidR="0075379D" w:rsidRDefault="00F31183">
            <w:r>
              <w:rPr>
                <w:color w:val="333333"/>
                <w:sz w:val="18"/>
                <w:szCs w:val="18"/>
              </w:rPr>
              <w:t>Activated (messy)</w:t>
            </w:r>
          </w:p>
        </w:tc>
      </w:tr>
      <w:tr w:rsidR="009D4573" w14:paraId="75831912" w14:textId="77777777">
        <w:tc>
          <w:tcPr>
            <w:tcW w:w="2200" w:type="dxa"/>
            <w:shd w:val="clear" w:color="auto" w:fill="F2F6FA"/>
            <w:tcMar>
              <w:top w:w="80" w:type="dxa"/>
              <w:left w:w="120" w:type="dxa"/>
              <w:bottom w:w="80" w:type="dxa"/>
              <w:right w:w="120" w:type="dxa"/>
            </w:tcMar>
          </w:tcPr>
          <w:p w14:paraId="5999D511" w14:textId="77777777" w:rsidR="0075379D" w:rsidRDefault="00F31183">
            <w:r>
              <w:rPr>
                <w:color w:val="333333"/>
                <w:sz w:val="18"/>
                <w:szCs w:val="18"/>
              </w:rPr>
              <w:t>SegWit (2017)</w:t>
            </w:r>
          </w:p>
        </w:tc>
        <w:tc>
          <w:tcPr>
            <w:tcW w:w="1800" w:type="dxa"/>
            <w:shd w:val="clear" w:color="auto" w:fill="F2F6FA"/>
            <w:tcMar>
              <w:top w:w="80" w:type="dxa"/>
              <w:left w:w="120" w:type="dxa"/>
              <w:bottom w:w="80" w:type="dxa"/>
              <w:right w:w="120" w:type="dxa"/>
            </w:tcMar>
          </w:tcPr>
          <w:p w14:paraId="7D8FDD57" w14:textId="77777777" w:rsidR="0075379D" w:rsidRDefault="00F31183">
            <w:r>
              <w:rPr>
                <w:color w:val="333333"/>
                <w:sz w:val="18"/>
                <w:szCs w:val="18"/>
              </w:rPr>
              <w:t>95%</w:t>
            </w:r>
          </w:p>
        </w:tc>
        <w:tc>
          <w:tcPr>
            <w:tcW w:w="1600" w:type="dxa"/>
            <w:shd w:val="clear" w:color="auto" w:fill="F2F6FA"/>
            <w:tcMar>
              <w:top w:w="80" w:type="dxa"/>
              <w:left w:w="120" w:type="dxa"/>
              <w:bottom w:w="80" w:type="dxa"/>
              <w:right w:w="120" w:type="dxa"/>
            </w:tcMar>
          </w:tcPr>
          <w:p w14:paraId="132B4F97" w14:textId="77777777" w:rsidR="0075379D" w:rsidRDefault="00F31183">
            <w:r>
              <w:rPr>
                <w:color w:val="333333"/>
                <w:sz w:val="18"/>
                <w:szCs w:val="18"/>
              </w:rPr>
              <w:t>20 months</w:t>
            </w:r>
          </w:p>
        </w:tc>
        <w:tc>
          <w:tcPr>
            <w:tcW w:w="1800" w:type="dxa"/>
            <w:shd w:val="clear" w:color="auto" w:fill="F2F6FA"/>
            <w:tcMar>
              <w:top w:w="80" w:type="dxa"/>
              <w:left w:w="120" w:type="dxa"/>
              <w:bottom w:w="80" w:type="dxa"/>
              <w:right w:w="120" w:type="dxa"/>
            </w:tcMar>
          </w:tcPr>
          <w:p w14:paraId="7F99066E" w14:textId="77777777" w:rsidR="0075379D" w:rsidRDefault="00F31183">
            <w:r>
              <w:rPr>
                <w:color w:val="333333"/>
                <w:sz w:val="18"/>
                <w:szCs w:val="18"/>
              </w:rPr>
              <w:t>BIP-9 + UASF</w:t>
            </w:r>
          </w:p>
        </w:tc>
        <w:tc>
          <w:tcPr>
            <w:tcW w:w="1960" w:type="dxa"/>
            <w:shd w:val="clear" w:color="auto" w:fill="F2F6FA"/>
            <w:tcMar>
              <w:top w:w="80" w:type="dxa"/>
              <w:left w:w="120" w:type="dxa"/>
              <w:bottom w:w="80" w:type="dxa"/>
              <w:right w:w="120" w:type="dxa"/>
            </w:tcMar>
          </w:tcPr>
          <w:p w14:paraId="2C989B1B" w14:textId="77777777" w:rsidR="0075379D" w:rsidRDefault="00F31183">
            <w:r>
              <w:rPr>
                <w:color w:val="333333"/>
                <w:sz w:val="18"/>
                <w:szCs w:val="18"/>
              </w:rPr>
              <w:t>Activated</w:t>
            </w:r>
          </w:p>
        </w:tc>
      </w:tr>
      <w:tr w:rsidR="009D4573" w14:paraId="5EA25622" w14:textId="77777777">
        <w:tc>
          <w:tcPr>
            <w:tcW w:w="2200" w:type="dxa"/>
            <w:tcMar>
              <w:top w:w="80" w:type="dxa"/>
              <w:left w:w="120" w:type="dxa"/>
              <w:bottom w:w="80" w:type="dxa"/>
              <w:right w:w="120" w:type="dxa"/>
            </w:tcMar>
          </w:tcPr>
          <w:p w14:paraId="4165C592" w14:textId="77777777" w:rsidR="0075379D" w:rsidRDefault="00F31183">
            <w:r>
              <w:rPr>
                <w:color w:val="333333"/>
                <w:sz w:val="18"/>
                <w:szCs w:val="18"/>
              </w:rPr>
              <w:t>SegWit2x (2017)</w:t>
            </w:r>
          </w:p>
        </w:tc>
        <w:tc>
          <w:tcPr>
            <w:tcW w:w="1800" w:type="dxa"/>
            <w:tcMar>
              <w:top w:w="80" w:type="dxa"/>
              <w:left w:w="120" w:type="dxa"/>
              <w:bottom w:w="80" w:type="dxa"/>
              <w:right w:w="120" w:type="dxa"/>
            </w:tcMar>
          </w:tcPr>
          <w:p w14:paraId="78593998" w14:textId="77777777" w:rsidR="0075379D" w:rsidRDefault="00F31183">
            <w:r>
              <w:rPr>
                <w:color w:val="333333"/>
                <w:sz w:val="18"/>
                <w:szCs w:val="18"/>
              </w:rPr>
              <w:t>80% (NYA)</w:t>
            </w:r>
          </w:p>
        </w:tc>
        <w:tc>
          <w:tcPr>
            <w:tcW w:w="1600" w:type="dxa"/>
            <w:tcMar>
              <w:top w:w="80" w:type="dxa"/>
              <w:left w:w="120" w:type="dxa"/>
              <w:bottom w:w="80" w:type="dxa"/>
              <w:right w:w="120" w:type="dxa"/>
            </w:tcMar>
          </w:tcPr>
          <w:p w14:paraId="120367F8" w14:textId="77777777" w:rsidR="0075379D" w:rsidRDefault="00F31183">
            <w:r>
              <w:rPr>
                <w:color w:val="333333"/>
                <w:sz w:val="18"/>
                <w:szCs w:val="18"/>
              </w:rPr>
              <w:t>~6 months</w:t>
            </w:r>
          </w:p>
        </w:tc>
        <w:tc>
          <w:tcPr>
            <w:tcW w:w="1800" w:type="dxa"/>
            <w:tcMar>
              <w:top w:w="80" w:type="dxa"/>
              <w:left w:w="120" w:type="dxa"/>
              <w:bottom w:w="80" w:type="dxa"/>
              <w:right w:w="120" w:type="dxa"/>
            </w:tcMar>
          </w:tcPr>
          <w:p w14:paraId="27B8505D" w14:textId="77777777" w:rsidR="0075379D" w:rsidRDefault="00F31183">
            <w:r>
              <w:rPr>
                <w:color w:val="333333"/>
                <w:sz w:val="18"/>
                <w:szCs w:val="18"/>
              </w:rPr>
              <w:t>Hard fork</w:t>
            </w:r>
          </w:p>
        </w:tc>
        <w:tc>
          <w:tcPr>
            <w:tcW w:w="1960" w:type="dxa"/>
            <w:tcMar>
              <w:top w:w="80" w:type="dxa"/>
              <w:left w:w="120" w:type="dxa"/>
              <w:bottom w:w="80" w:type="dxa"/>
              <w:right w:w="120" w:type="dxa"/>
            </w:tcMar>
          </w:tcPr>
          <w:p w14:paraId="64EFCD42" w14:textId="77777777" w:rsidR="0075379D" w:rsidRDefault="00F31183">
            <w:r>
              <w:rPr>
                <w:color w:val="333333"/>
                <w:sz w:val="18"/>
                <w:szCs w:val="18"/>
              </w:rPr>
              <w:t>Canceled</w:t>
            </w:r>
          </w:p>
        </w:tc>
      </w:tr>
      <w:tr w:rsidR="009D4573" w14:paraId="1137C701" w14:textId="77777777">
        <w:tc>
          <w:tcPr>
            <w:tcW w:w="2200" w:type="dxa"/>
            <w:shd w:val="clear" w:color="auto" w:fill="F2F6FA"/>
            <w:tcMar>
              <w:top w:w="80" w:type="dxa"/>
              <w:left w:w="120" w:type="dxa"/>
              <w:bottom w:w="80" w:type="dxa"/>
              <w:right w:w="120" w:type="dxa"/>
            </w:tcMar>
          </w:tcPr>
          <w:p w14:paraId="14CF4B8B" w14:textId="77777777" w:rsidR="0075379D" w:rsidRDefault="00F31183">
            <w:r>
              <w:rPr>
                <w:color w:val="333333"/>
                <w:sz w:val="18"/>
                <w:szCs w:val="18"/>
              </w:rPr>
              <w:t>Taproot (2021)</w:t>
            </w:r>
          </w:p>
        </w:tc>
        <w:tc>
          <w:tcPr>
            <w:tcW w:w="1800" w:type="dxa"/>
            <w:shd w:val="clear" w:color="auto" w:fill="F2F6FA"/>
            <w:tcMar>
              <w:top w:w="80" w:type="dxa"/>
              <w:left w:w="120" w:type="dxa"/>
              <w:bottom w:w="80" w:type="dxa"/>
              <w:right w:w="120" w:type="dxa"/>
            </w:tcMar>
          </w:tcPr>
          <w:p w14:paraId="6F91CA44" w14:textId="77777777" w:rsidR="0075379D" w:rsidRDefault="00F31183">
            <w:r>
              <w:rPr>
                <w:color w:val="333333"/>
                <w:sz w:val="18"/>
                <w:szCs w:val="18"/>
              </w:rPr>
              <w:t>90%</w:t>
            </w:r>
          </w:p>
        </w:tc>
        <w:tc>
          <w:tcPr>
            <w:tcW w:w="1600" w:type="dxa"/>
            <w:shd w:val="clear" w:color="auto" w:fill="F2F6FA"/>
            <w:tcMar>
              <w:top w:w="80" w:type="dxa"/>
              <w:left w:w="120" w:type="dxa"/>
              <w:bottom w:w="80" w:type="dxa"/>
              <w:right w:w="120" w:type="dxa"/>
            </w:tcMar>
          </w:tcPr>
          <w:p w14:paraId="47098A70" w14:textId="77777777" w:rsidR="0075379D" w:rsidRDefault="00F31183">
            <w:r>
              <w:rPr>
                <w:color w:val="333333"/>
                <w:sz w:val="18"/>
                <w:szCs w:val="18"/>
              </w:rPr>
              <w:t>~4 years</w:t>
            </w:r>
          </w:p>
        </w:tc>
        <w:tc>
          <w:tcPr>
            <w:tcW w:w="1800" w:type="dxa"/>
            <w:shd w:val="clear" w:color="auto" w:fill="F2F6FA"/>
            <w:tcMar>
              <w:top w:w="80" w:type="dxa"/>
              <w:left w:w="120" w:type="dxa"/>
              <w:bottom w:w="80" w:type="dxa"/>
              <w:right w:w="120" w:type="dxa"/>
            </w:tcMar>
          </w:tcPr>
          <w:p w14:paraId="5410CEB7" w14:textId="77777777" w:rsidR="0075379D" w:rsidRDefault="00F31183">
            <w:r>
              <w:rPr>
                <w:color w:val="333333"/>
                <w:sz w:val="18"/>
                <w:szCs w:val="18"/>
              </w:rPr>
              <w:t>Speedy Trial</w:t>
            </w:r>
          </w:p>
        </w:tc>
        <w:tc>
          <w:tcPr>
            <w:tcW w:w="1960" w:type="dxa"/>
            <w:shd w:val="clear" w:color="auto" w:fill="F2F6FA"/>
            <w:tcMar>
              <w:top w:w="80" w:type="dxa"/>
              <w:left w:w="120" w:type="dxa"/>
              <w:bottom w:w="80" w:type="dxa"/>
              <w:right w:w="120" w:type="dxa"/>
            </w:tcMar>
          </w:tcPr>
          <w:p w14:paraId="23D72F21" w14:textId="77777777" w:rsidR="0075379D" w:rsidRDefault="00F31183">
            <w:r>
              <w:rPr>
                <w:color w:val="333333"/>
                <w:sz w:val="18"/>
                <w:szCs w:val="18"/>
              </w:rPr>
              <w:t>Activated</w:t>
            </w:r>
          </w:p>
        </w:tc>
      </w:tr>
      <w:tr w:rsidR="009D4573" w14:paraId="1323D222" w14:textId="77777777">
        <w:tc>
          <w:tcPr>
            <w:tcW w:w="2200" w:type="dxa"/>
            <w:tcMar>
              <w:top w:w="80" w:type="dxa"/>
              <w:left w:w="120" w:type="dxa"/>
              <w:bottom w:w="80" w:type="dxa"/>
              <w:right w:w="120" w:type="dxa"/>
            </w:tcMar>
          </w:tcPr>
          <w:p w14:paraId="23DA25D1" w14:textId="77777777" w:rsidR="0075379D" w:rsidRDefault="00F31183">
            <w:r>
              <w:rPr>
                <w:color w:val="333333"/>
                <w:sz w:val="18"/>
                <w:szCs w:val="18"/>
              </w:rPr>
              <w:t>BIP-110 (2025–26)</w:t>
            </w:r>
          </w:p>
        </w:tc>
        <w:tc>
          <w:tcPr>
            <w:tcW w:w="1800" w:type="dxa"/>
            <w:tcMar>
              <w:top w:w="80" w:type="dxa"/>
              <w:left w:w="120" w:type="dxa"/>
              <w:bottom w:w="80" w:type="dxa"/>
              <w:right w:w="120" w:type="dxa"/>
            </w:tcMar>
          </w:tcPr>
          <w:p w14:paraId="02E97C1A" w14:textId="77777777" w:rsidR="0075379D" w:rsidRDefault="00F31183">
            <w:r>
              <w:rPr>
                <w:color w:val="333333"/>
                <w:sz w:val="18"/>
                <w:szCs w:val="18"/>
              </w:rPr>
              <w:t>55%</w:t>
            </w:r>
          </w:p>
        </w:tc>
        <w:tc>
          <w:tcPr>
            <w:tcW w:w="1600" w:type="dxa"/>
            <w:tcMar>
              <w:top w:w="80" w:type="dxa"/>
              <w:left w:w="120" w:type="dxa"/>
              <w:bottom w:w="80" w:type="dxa"/>
              <w:right w:w="120" w:type="dxa"/>
            </w:tcMar>
          </w:tcPr>
          <w:p w14:paraId="524A9543" w14:textId="77777777" w:rsidR="0075379D" w:rsidRDefault="00F31183">
            <w:r>
              <w:rPr>
                <w:color w:val="333333"/>
                <w:sz w:val="18"/>
                <w:szCs w:val="18"/>
              </w:rPr>
              <w:t>~6 weeks</w:t>
            </w:r>
          </w:p>
        </w:tc>
        <w:tc>
          <w:tcPr>
            <w:tcW w:w="1800" w:type="dxa"/>
            <w:tcMar>
              <w:top w:w="80" w:type="dxa"/>
              <w:left w:w="120" w:type="dxa"/>
              <w:bottom w:w="80" w:type="dxa"/>
              <w:right w:w="120" w:type="dxa"/>
            </w:tcMar>
          </w:tcPr>
          <w:p w14:paraId="124CFE71" w14:textId="77777777" w:rsidR="0075379D" w:rsidRDefault="00F31183">
            <w:r>
              <w:rPr>
                <w:color w:val="333333"/>
                <w:sz w:val="18"/>
                <w:szCs w:val="18"/>
              </w:rPr>
              <w:t>UASF (Knots)</w:t>
            </w:r>
          </w:p>
        </w:tc>
        <w:tc>
          <w:tcPr>
            <w:tcW w:w="1960" w:type="dxa"/>
            <w:tcMar>
              <w:top w:w="80" w:type="dxa"/>
              <w:left w:w="120" w:type="dxa"/>
              <w:bottom w:w="80" w:type="dxa"/>
              <w:right w:w="120" w:type="dxa"/>
            </w:tcMar>
          </w:tcPr>
          <w:p w14:paraId="2EC9EA07" w14:textId="77777777" w:rsidR="0075379D" w:rsidRDefault="00F31183">
            <w:r>
              <w:rPr>
                <w:color w:val="333333"/>
                <w:sz w:val="18"/>
                <w:szCs w:val="18"/>
              </w:rPr>
              <w:t>Stalled (≤0.15%)</w:t>
            </w:r>
          </w:p>
        </w:tc>
      </w:tr>
    </w:tbl>
    <w:p w14:paraId="60410FAE" w14:textId="77777777" w:rsidR="0075379D" w:rsidRDefault="0075379D">
      <w:pPr>
        <w:spacing w:after="200"/>
      </w:pPr>
    </w:p>
    <w:p w14:paraId="3B03824B" w14:textId="77777777" w:rsidR="0075379D" w:rsidRDefault="00F31183">
      <w:pPr>
        <w:spacing w:after="200" w:line="312" w:lineRule="auto"/>
        <w:jc w:val="both"/>
      </w:pPr>
      <w:r>
        <w:rPr>
          <w:color w:val="333333"/>
        </w:rPr>
        <w:t>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14:paraId="10AA494C" w14:textId="77777777" w:rsidR="0075379D" w:rsidRDefault="00F31183">
      <w:r>
        <w:br w:type="page"/>
      </w:r>
    </w:p>
    <w:p w14:paraId="6FCA981C" w14:textId="77777777" w:rsidR="0075379D" w:rsidRDefault="00F31183">
      <w:pPr>
        <w:pStyle w:val="Heading1"/>
      </w:pPr>
      <w:r>
        <w:t>SECTION 3: THE FRAMEWORK</w:t>
      </w:r>
    </w:p>
    <w:p w14:paraId="4A3A7085" w14:textId="77777777" w:rsidR="0075379D" w:rsidRDefault="00F31183">
      <w:pPr>
        <w:spacing w:after="200" w:line="312" w:lineRule="auto"/>
        <w:jc w:val="both"/>
      </w:pPr>
      <w:r>
        <w:rPr>
          <w:color w:val="333333"/>
        </w:rPr>
        <w:t>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14:paraId="3EFB6C04" w14:textId="77777777" w:rsidR="0075379D" w:rsidRDefault="00F31183">
      <w:pPr>
        <w:pStyle w:val="Heading2"/>
      </w:pPr>
      <w:r>
        <w:t>3.1 Proposal Submission Requirements</w:t>
      </w:r>
    </w:p>
    <w:p w14:paraId="4E6BBD27" w14:textId="77777777" w:rsidR="0075379D" w:rsidRDefault="00F31183">
      <w:pPr>
        <w:spacing w:after="200" w:line="312" w:lineRule="auto"/>
        <w:jc w:val="both"/>
      </w:pPr>
      <w:r>
        <w:rPr>
          <w:color w:val="333333"/>
        </w:rPr>
        <w:t>A consensus change proposal submitted for community consideration should include, at minimum:</w:t>
      </w:r>
    </w:p>
    <w:p w14:paraId="164469FF" w14:textId="77777777" w:rsidR="0075379D" w:rsidRDefault="00F31183">
      <w:pPr>
        <w:spacing w:after="200" w:line="312" w:lineRule="auto"/>
        <w:jc w:val="both"/>
      </w:pPr>
      <w:r>
        <w:rPr>
          <w:b/>
          <w:bCs/>
          <w:color w:val="333333"/>
        </w:rPr>
        <w:t>A. Problem Statement.</w:t>
      </w:r>
      <w:r>
        <w:rPr>
          <w:color w:val="333333"/>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14:paraId="59A31388" w14:textId="77777777" w:rsidR="0075379D" w:rsidRDefault="00F31183">
      <w:pPr>
        <w:spacing w:after="200" w:line="312" w:lineRule="auto"/>
        <w:jc w:val="both"/>
      </w:pPr>
      <w:r>
        <w:rPr>
          <w:b/>
          <w:bCs/>
          <w:color w:val="333333"/>
        </w:rPr>
        <w:t>B. Technical Specification.</w:t>
      </w:r>
      <w:r>
        <w:rPr>
          <w:color w:val="333333"/>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14:paraId="60313593" w14:textId="77777777" w:rsidR="0075379D" w:rsidRDefault="00F31183">
      <w:pPr>
        <w:spacing w:after="200" w:line="312" w:lineRule="auto"/>
        <w:jc w:val="both"/>
      </w:pPr>
      <w:r>
        <w:rPr>
          <w:b/>
          <w:bCs/>
          <w:color w:val="333333"/>
        </w:rPr>
        <w:t>C. Backward Compatibility Analysis.</w:t>
      </w:r>
      <w:r>
        <w:rPr>
          <w:color w:val="333333"/>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14:paraId="5AE13B31" w14:textId="77777777" w:rsidR="0075379D" w:rsidRDefault="00F31183">
      <w:pPr>
        <w:spacing w:after="200" w:line="312" w:lineRule="auto"/>
        <w:jc w:val="both"/>
      </w:pPr>
      <w:r>
        <w:rPr>
          <w:b/>
          <w:bCs/>
          <w:color w:val="333333"/>
        </w:rPr>
        <w:t>D. Activation Mechanism.</w:t>
      </w:r>
      <w:r>
        <w:rPr>
          <w:color w:val="333333"/>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14:paraId="0DA8AB22" w14:textId="77777777" w:rsidR="0075379D" w:rsidRDefault="00F31183">
      <w:pPr>
        <w:spacing w:after="200" w:line="312" w:lineRule="auto"/>
        <w:jc w:val="both"/>
      </w:pPr>
      <w:r>
        <w:rPr>
          <w:b/>
          <w:bCs/>
          <w:color w:val="333333"/>
        </w:rPr>
        <w:t>E. Rollback Procedure.</w:t>
      </w:r>
      <w:r>
        <w:rPr>
          <w:color w:val="333333"/>
        </w:rPr>
        <w:t xml:space="preserve"> A defined procedure for deactivating the change if it produces unintended consequences. For proposals described as “temporary,” this must include a self-executing sunset mechanism that does not require further community coordination to trigger.</w:t>
      </w:r>
    </w:p>
    <w:p w14:paraId="1AB9F326" w14:textId="77777777" w:rsidR="0075379D" w:rsidRDefault="00F31183">
      <w:pPr>
        <w:spacing w:after="200" w:line="312" w:lineRule="auto"/>
        <w:jc w:val="both"/>
      </w:pPr>
      <w:r>
        <w:rPr>
          <w:b/>
          <w:bCs/>
          <w:color w:val="333333"/>
        </w:rPr>
        <w:t>F. Reference Implementation.</w:t>
      </w:r>
      <w:r>
        <w:rPr>
          <w:color w:val="333333"/>
        </w:rPr>
        <w:t xml:space="preserve"> A complete, functional reference implementation against a current release of Bitcoin Core or a compatible client. The reference implementation must include a comprehensive test suite.</w:t>
      </w:r>
    </w:p>
    <w:p w14:paraId="6AB1AA54" w14:textId="77777777" w:rsidR="0075379D" w:rsidRDefault="00F31183">
      <w:pPr>
        <w:pStyle w:val="Heading2"/>
      </w:pPr>
      <w:r>
        <w:t>3.2 Minimum Review Period</w:t>
      </w:r>
    </w:p>
    <w:p w14:paraId="3CE05B31" w14:textId="77777777" w:rsidR="0075379D" w:rsidRDefault="00F31183">
      <w:pPr>
        <w:spacing w:after="200" w:line="312" w:lineRule="auto"/>
        <w:jc w:val="both"/>
      </w:pPr>
      <w:r>
        <w:rPr>
          <w:color w:val="333333"/>
        </w:rPr>
        <w:t>No consensus change proposal should proceed to activation signaling until it has completed a minimum review period. The appropriate length of this period depends on the scope and risk of the proposed change:</w:t>
      </w:r>
    </w:p>
    <w:p w14:paraId="06173840" w14:textId="77777777" w:rsidR="0075379D" w:rsidRDefault="00F31183">
      <w:pPr>
        <w:spacing w:before="240" w:after="120"/>
      </w:pPr>
      <w:r>
        <w:rPr>
          <w:rFonts w:ascii="Arial" w:eastAsia="Arial" w:hAnsi="Arial" w:cs="Arial"/>
          <w:b/>
          <w:bCs/>
          <w:color w:val="333333"/>
          <w:sz w:val="22"/>
          <w:szCs w:val="22"/>
        </w:rPr>
        <w:t>Category 1: Low-Risk Changes</w:t>
      </w:r>
    </w:p>
    <w:p w14:paraId="43D5B3BC" w14:textId="77777777" w:rsidR="0075379D" w:rsidRDefault="00F31183">
      <w:pPr>
        <w:spacing w:after="200" w:line="312" w:lineRule="auto"/>
        <w:jc w:val="both"/>
      </w:pPr>
      <w:r>
        <w:rPr>
          <w:color w:val="333333"/>
        </w:rPr>
        <w:t>Changes that tighten existing policy without altering the consensus boundary — for example, reducing default mempool relay limits. These are not consensus changes and do not require this framework. Individual node operators can adopt or reject them at will.</w:t>
      </w:r>
    </w:p>
    <w:p w14:paraId="785D0DE2" w14:textId="77777777" w:rsidR="0075379D" w:rsidRDefault="00F31183">
      <w:pPr>
        <w:spacing w:before="240" w:after="120"/>
      </w:pPr>
      <w:r>
        <w:rPr>
          <w:rFonts w:ascii="Arial" w:eastAsia="Arial" w:hAnsi="Arial" w:cs="Arial"/>
          <w:b/>
          <w:bCs/>
          <w:color w:val="333333"/>
          <w:sz w:val="22"/>
          <w:szCs w:val="22"/>
        </w:rPr>
        <w:t>Category 2: Moderate-Risk Consensus Changes</w:t>
      </w:r>
    </w:p>
    <w:p w14:paraId="24EA8818" w14:textId="77777777" w:rsidR="0075379D" w:rsidRDefault="00F31183">
      <w:pPr>
        <w:spacing w:after="200" w:line="312" w:lineRule="auto"/>
        <w:jc w:val="both"/>
      </w:pPr>
      <w:r>
        <w:rPr>
          <w:color w:val="333333"/>
        </w:rPr>
        <w:t xml:space="preserve">Soft forks that add new validation rules without invalidating any currently valid transaction type. Examples include Taproot and SegWit, which expanded the set of valid scripts without restricting existing scripts. Minimum review period: </w:t>
      </w:r>
      <w:r>
        <w:rPr>
          <w:b/>
          <w:bCs/>
          <w:color w:val="333333"/>
        </w:rPr>
        <w:t>twelve months</w:t>
      </w:r>
      <w:r>
        <w:rPr>
          <w:color w:val="333333"/>
        </w:rPr>
        <w:t xml:space="preserve"> from publication of a complete technical specification and reference implementation.</w:t>
      </w:r>
    </w:p>
    <w:p w14:paraId="5473D743" w14:textId="77777777" w:rsidR="0075379D" w:rsidRDefault="00F31183">
      <w:pPr>
        <w:spacing w:before="240" w:after="120"/>
      </w:pPr>
      <w:r>
        <w:rPr>
          <w:rFonts w:ascii="Arial" w:eastAsia="Arial" w:hAnsi="Arial" w:cs="Arial"/>
          <w:b/>
          <w:bCs/>
          <w:color w:val="333333"/>
          <w:sz w:val="22"/>
          <w:szCs w:val="22"/>
        </w:rPr>
        <w:t>Category 3: High-Risk Consensus Changes</w:t>
      </w:r>
    </w:p>
    <w:p w14:paraId="7B15F74F" w14:textId="77777777" w:rsidR="0075379D" w:rsidRDefault="00F31183">
      <w:pPr>
        <w:spacing w:after="200" w:line="312" w:lineRule="auto"/>
        <w:jc w:val="both"/>
      </w:pPr>
      <w:r>
        <w:rPr>
          <w:color w:val="333333"/>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b/>
          <w:bCs/>
          <w:color w:val="333333"/>
        </w:rPr>
        <w:t>twenty-four months</w:t>
      </w:r>
      <w:r>
        <w:rPr>
          <w:color w:val="333333"/>
        </w:rPr>
        <w:t xml:space="preserve"> from publication of a complete technical specification and reference implementation.</w:t>
      </w:r>
    </w:p>
    <w:p w14:paraId="14BD86F7" w14:textId="77777777" w:rsidR="0075379D" w:rsidRDefault="00F31183">
      <w:pPr>
        <w:spacing w:before="240" w:after="120"/>
      </w:pPr>
      <w:r>
        <w:rPr>
          <w:rFonts w:ascii="Arial" w:eastAsia="Arial" w:hAnsi="Arial" w:cs="Arial"/>
          <w:b/>
          <w:bCs/>
          <w:color w:val="333333"/>
          <w:sz w:val="22"/>
          <w:szCs w:val="22"/>
        </w:rPr>
        <w:t>Category 4: Hard Forks</w:t>
      </w:r>
    </w:p>
    <w:p w14:paraId="45EF6F8C" w14:textId="77777777" w:rsidR="0075379D" w:rsidRDefault="00F31183">
      <w:pPr>
        <w:spacing w:after="200" w:line="312" w:lineRule="auto"/>
        <w:jc w:val="both"/>
      </w:pPr>
      <w:r>
        <w:rPr>
          <w:color w:val="333333"/>
        </w:rPr>
        <w:t>Any change that old nodes would reject. Hard forks carry the highest risk of permanent chain splits and should be avoided except in extraordinary circumstances, such as a critical security vulnerability discovered in the deployed protocol. Where they are nevertheless pursued, this framework proposes the following minimum standards: (1) a thirty-six-month review period from publication of a complete technical specification and reference implementation; (2) explicit replay protection or a published rationale for its absence; (3) demonstrated economic-node support, including affirmative commitments from major exchanges, custodians, and payment processors; and (4) a published chain-split contingency plan addressing user communication, exchange coordination, and the contractual question of which chain constitutes “Bitcoin” for outstanding obligations. The Bitcoin community’s strong norm against hard forks — reinforced by the block size wars — remains the most effective deterrent, but the absence of a written standard has historically left proponents free to define their own.</w:t>
      </w:r>
    </w:p>
    <w:p w14:paraId="0D972215" w14:textId="77777777" w:rsidR="0075379D" w:rsidRDefault="00F31183">
      <w:pPr>
        <w:pStyle w:val="Heading2"/>
      </w:pPr>
      <w:r>
        <w:t>3.3 Code Audit Requirements</w:t>
      </w:r>
    </w:p>
    <w:p w14:paraId="7A033965" w14:textId="77777777" w:rsidR="0075379D" w:rsidRDefault="00F31183">
      <w:pPr>
        <w:spacing w:after="200" w:line="312" w:lineRule="auto"/>
        <w:jc w:val="both"/>
      </w:pPr>
      <w:r>
        <w:rPr>
          <w:color w:val="333333"/>
        </w:rPr>
        <w:t>The activation client for any consensus change must meet the following code quality standards before activation signaling begins:</w:t>
      </w:r>
    </w:p>
    <w:p w14:paraId="68BDD99D" w14:textId="77777777" w:rsidR="0075379D" w:rsidRDefault="00F31183">
      <w:pPr>
        <w:spacing w:after="200" w:line="312" w:lineRule="auto"/>
        <w:jc w:val="both"/>
      </w:pPr>
      <w:r>
        <w:rPr>
          <w:b/>
          <w:bCs/>
          <w:color w:val="333333"/>
        </w:rPr>
        <w:t>A. Independent review.</w:t>
      </w:r>
      <w:r>
        <w:rPr>
          <w:color w:val="333333"/>
        </w:rPr>
        <w:t xml:space="preserve"> The reference implementation must be reviewed by a minimum of three developers who are not affiliated with the proposal’s authors. Reviewers should have demonstrated competence in Bitcoin protocol development, as evidenced by prior contributions to Bitcoin Core, Bitcoin Knots, or another consensus-compatible implementation.</w:t>
      </w:r>
    </w:p>
    <w:p w14:paraId="56525B0A" w14:textId="77777777" w:rsidR="0075379D" w:rsidRDefault="00F31183">
      <w:pPr>
        <w:spacing w:after="200" w:line="312" w:lineRule="auto"/>
        <w:jc w:val="both"/>
      </w:pPr>
      <w:r>
        <w:rPr>
          <w:b/>
          <w:bCs/>
          <w:color w:val="333333"/>
        </w:rPr>
        <w:t>B. Test coverage.</w:t>
      </w:r>
      <w:r>
        <w:rPr>
          <w:color w:val="333333"/>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14:paraId="307B63E7" w14:textId="77777777" w:rsidR="0075379D" w:rsidRDefault="00F31183">
      <w:pPr>
        <w:spacing w:after="200" w:line="312" w:lineRule="auto"/>
        <w:jc w:val="both"/>
      </w:pPr>
      <w:r>
        <w:rPr>
          <w:b/>
          <w:bCs/>
          <w:color w:val="333333"/>
        </w:rPr>
        <w:t>C. Testnet deployment.</w:t>
      </w:r>
      <w:r>
        <w:rPr>
          <w:color w:val="333333"/>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14:paraId="08B46385" w14:textId="77777777" w:rsidR="0075379D" w:rsidRDefault="00F31183">
      <w:pPr>
        <w:spacing w:after="200" w:line="312" w:lineRule="auto"/>
        <w:jc w:val="both"/>
      </w:pPr>
      <w:r>
        <w:rPr>
          <w:b/>
          <w:bCs/>
          <w:color w:val="333333"/>
        </w:rPr>
        <w:t>D. Fuzzing and adversarial testing.</w:t>
      </w:r>
      <w:r>
        <w:rPr>
          <w:color w:val="333333"/>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14:paraId="0B5AAD8D" w14:textId="77777777" w:rsidR="0075379D" w:rsidRDefault="00F31183">
      <w:pPr>
        <w:spacing w:after="200" w:line="312" w:lineRule="auto"/>
        <w:jc w:val="both"/>
      </w:pPr>
      <w:r>
        <w:rPr>
          <w:b/>
          <w:bCs/>
          <w:color w:val="333333"/>
        </w:rPr>
        <w:t>E. No AI-generated code without disclosure and review.</w:t>
      </w:r>
      <w:r>
        <w:rPr>
          <w:color w:val="333333"/>
        </w:rPr>
        <w:t xml:space="preserve"> The use of AI coding assistants in developing activation clients is not inherently problematic, but it must be disclosed and the resulting code must receive heightened scrutiny. AI-generated code in consensus-critical software is analogous to AI-generated legal filings — the tool can accelerate production, but the professional remains responsible for the output’s correctness.</w:t>
      </w:r>
    </w:p>
    <w:p w14:paraId="30C0B199" w14:textId="77777777" w:rsidR="0075379D" w:rsidRDefault="00F31183">
      <w:pPr>
        <w:pStyle w:val="Heading2"/>
      </w:pPr>
      <w:r>
        <w:t>3.4 Activation Threshold Standards</w:t>
      </w:r>
    </w:p>
    <w:p w14:paraId="6B69F6F9" w14:textId="77777777" w:rsidR="0075379D" w:rsidRDefault="00F31183">
      <w:pPr>
        <w:spacing w:after="200" w:line="312" w:lineRule="auto"/>
        <w:jc w:val="both"/>
      </w:pPr>
      <w:r>
        <w:rPr>
          <w:color w:val="333333"/>
        </w:rPr>
        <w:t>The activation threshold for a consensus change should reflect both the risk of the change and the cost of a failed activation. The following thresholds are proposed as minimum standards:</w:t>
      </w:r>
    </w:p>
    <w:p w14:paraId="5B3497BB" w14:textId="77777777" w:rsidR="0075379D" w:rsidRDefault="00F31183">
      <w:pPr>
        <w:spacing w:before="240" w:after="120"/>
      </w:pPr>
      <w:r>
        <w:rPr>
          <w:rFonts w:ascii="Arial" w:eastAsia="Arial" w:hAnsi="Arial" w:cs="Arial"/>
          <w:b/>
          <w:bCs/>
          <w:color w:val="333333"/>
          <w:sz w:val="22"/>
          <w:szCs w:val="22"/>
        </w:rPr>
        <w:t>Activation Mechanism Design Space</w:t>
      </w:r>
    </w:p>
    <w:p w14:paraId="0BADC2B8" w14:textId="77777777" w:rsidR="0075379D" w:rsidRDefault="00F31183">
      <w:pPr>
        <w:spacing w:after="200" w:line="312" w:lineRule="auto"/>
        <w:jc w:val="both"/>
      </w:pPr>
      <w:r>
        <w:rPr>
          <w:color w:val="333333"/>
        </w:rPr>
        <w:t>Threshold selection is downstream of mechanism selection. The activation mechanisms employed in Bitcoin’s history form a small but instructive design space. Each represents a distinct trade-off between activation speed, fail-safe behavior, and the locus of signaling authority.</w:t>
      </w:r>
    </w:p>
    <w:p w14:paraId="2413C1E5" w14:textId="77777777" w:rsidR="0075379D" w:rsidRDefault="00F31183">
      <w:pPr>
        <w:spacing w:after="200" w:line="312" w:lineRule="auto"/>
        <w:jc w:val="both"/>
      </w:pPr>
      <w:r>
        <w:rPr>
          <w:color w:val="333333"/>
        </w:rPr>
        <w:t>BIP-9 (Version Bits with Timeout and Delay). The original modern activation mechanism, used for CSV and SegWit. Miners signal readiness via version-bit flags; activation occurs when the configured threshold of blocks within a 2,016-block window signal readiness. BIP-9 includes a timeout: if the threshold is not met within a defined window, the deployment expires. BIP-9’s principal weakness is that it grants miners effective veto power — a small mining pool coalition can block activation by refusing to signal, even where node operators, exchanges, and users overwhelmingly support the change. SegWit’s eight-month stall demonstrated this failure mode in practice.</w:t>
      </w:r>
    </w:p>
    <w:p w14:paraId="250238BF" w14:textId="77777777" w:rsidR="0075379D" w:rsidRDefault="00F31183">
      <w:pPr>
        <w:spacing w:after="200" w:line="312" w:lineRule="auto"/>
        <w:jc w:val="both"/>
      </w:pPr>
      <w:r>
        <w:rPr>
          <w:color w:val="333333"/>
        </w:rPr>
        <w:t>BIP-91 (Reduced Threshold MASF). A direct response to SegWit’s stalled BIP-9 deployment. BIP-91 lowered the lock-in threshold to 80% and made signaling itself compulsory: BIP-91-enforcing miners would reject blocks that did not signal for SegWit. This created the coordination pressure that achieved SegWit’s lock-in in July 2017. BIP-91 demonstrated that compulsory signaling — not just threshold reduction — can break a deadlock, at the cost of accepting some chain-split risk during the coordination period.</w:t>
      </w:r>
    </w:p>
    <w:p w14:paraId="6147C6F5" w14:textId="77777777" w:rsidR="0075379D" w:rsidRDefault="00F31183">
      <w:pPr>
        <w:spacing w:after="200" w:line="312" w:lineRule="auto"/>
        <w:jc w:val="both"/>
      </w:pPr>
      <w:r>
        <w:rPr>
          <w:color w:val="333333"/>
        </w:rPr>
        <w:t>BIP-148 (User Activated Soft Fork). A flag-day mechanism: BIP-148-enforcing nodes would begin rejecting non-SegWit-signaling blocks on August 1, 2017, regardless of miner readiness. BIP-148 transferred activation authority from miners to economic nodes. Its credible threat is widely credited with motivating the miner capitulation that produced BIP-91. The mechanism is structurally riskier than miner-activated alternatives — if miners refuse to comply, the BIP-148 chain splits from the legacy chain — and is appropriate only where the underlying proposal has overwhelming economic support.</w:t>
      </w:r>
    </w:p>
    <w:p w14:paraId="19A8A176" w14:textId="77777777" w:rsidR="0075379D" w:rsidRDefault="00F31183">
      <w:pPr>
        <w:spacing w:after="200" w:line="312" w:lineRule="auto"/>
        <w:jc w:val="both"/>
      </w:pPr>
      <w:r>
        <w:rPr>
          <w:color w:val="333333"/>
        </w:rPr>
        <w:t>Speedy Trial. The activation mechanism used for Taproot in 2021. A bounded BIP-9 deployment with a short signaling window (approximately three months) and a high threshold (90%). If the threshold is reached, activation occurs after a defined delay; if not, the proposal expires without activation, freeing the deployment slot for revision or alternative proposals. Speedy Trial trades the certainty of activation for the certainty of a defined timeline. It is the most cautious of the modern mechanisms and is the closest existing match to the standards proposed in this framework.</w:t>
      </w:r>
    </w:p>
    <w:p w14:paraId="7546FA64" w14:textId="77777777" w:rsidR="0075379D" w:rsidRDefault="00F31183">
      <w:pPr>
        <w:spacing w:after="200" w:line="312" w:lineRule="auto"/>
        <w:jc w:val="both"/>
      </w:pPr>
      <w:r>
        <w:rPr>
          <w:color w:val="333333"/>
        </w:rPr>
        <w:t>LOT=true / LOT=false. A parameter that arose in BIP-8 during Taproot’s activation debates. Lockin On Timeout (LOT) specifies whether a deployment that fails to achieve miner signaling within its window should nevertheless activate by user mandate at timeout. LOT=true converts a deployment into an effective UASF if miners do not cooperate; LOT=false makes it a clean Speedy Trial-style timeout. The LOT debate of early 2021 surfaced the central question of every activation mechanism: who holds final authority over consensus rule changes, and what happens when they disagree?</w:t>
      </w:r>
    </w:p>
    <w:p w14:paraId="3F00B5F4" w14:textId="77777777" w:rsidR="0075379D" w:rsidRDefault="00F31183">
      <w:pPr>
        <w:spacing w:after="200" w:line="312" w:lineRule="auto"/>
        <w:jc w:val="both"/>
      </w:pPr>
      <w:r>
        <w:rPr>
          <w:color w:val="333333"/>
        </w:rPr>
        <w:t>This framework treats activation mechanism selection as a deliberate design choice subject to the standards in this section. A proposal that meets the substantive standards but uses an inappropriate activation mechanism remains deficient. A proposal that uses an appropriate mechanism but fails the substantive standards is no more defensible. Mechanism and merit are both gating.</w:t>
      </w:r>
    </w:p>
    <w:p w14:paraId="19513393" w14:textId="77777777" w:rsidR="0075379D" w:rsidRDefault="00F31183">
      <w:pPr>
        <w:spacing w:before="240" w:after="120"/>
      </w:pPr>
      <w:r>
        <w:rPr>
          <w:rFonts w:ascii="Arial" w:eastAsia="Arial" w:hAnsi="Arial" w:cs="Arial"/>
          <w:b/>
          <w:bCs/>
          <w:color w:val="333333"/>
          <w:sz w:val="22"/>
          <w:szCs w:val="22"/>
        </w:rPr>
        <w:t>Miner-Activated Soft Fork (MASF)</w:t>
      </w:r>
    </w:p>
    <w:p w14:paraId="5B345163" w14:textId="77777777" w:rsidR="0075379D" w:rsidRDefault="00F31183">
      <w:pPr>
        <w:spacing w:after="200" w:line="312" w:lineRule="auto"/>
        <w:jc w:val="both"/>
      </w:pPr>
      <w:r>
        <w:rPr>
          <w:color w:val="333333"/>
        </w:rPr>
        <w:t xml:space="preserve">Minimum threshold: </w:t>
      </w:r>
      <w:r>
        <w:rPr>
          <w:b/>
          <w:bCs/>
          <w:color w:val="333333"/>
        </w:rPr>
        <w:t>90% of hashrate</w:t>
      </w:r>
      <w:r>
        <w:rPr>
          <w:color w:val="333333"/>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14:paraId="01232BA5" w14:textId="77777777" w:rsidR="0075379D" w:rsidRDefault="00F31183">
      <w:pPr>
        <w:spacing w:before="240" w:after="120"/>
      </w:pPr>
      <w:r>
        <w:rPr>
          <w:rFonts w:ascii="Arial" w:eastAsia="Arial" w:hAnsi="Arial" w:cs="Arial"/>
          <w:b/>
          <w:bCs/>
          <w:color w:val="333333"/>
          <w:sz w:val="22"/>
          <w:szCs w:val="22"/>
        </w:rPr>
        <w:t>User-Activated Soft Fork (UASF)</w:t>
      </w:r>
    </w:p>
    <w:p w14:paraId="3D4E02E7" w14:textId="77777777" w:rsidR="0075379D" w:rsidRDefault="00F31183">
      <w:pPr>
        <w:spacing w:after="200" w:line="312" w:lineRule="auto"/>
        <w:jc w:val="both"/>
      </w:pPr>
      <w:r>
        <w:rPr>
          <w:color w:val="333333"/>
        </w:rPr>
        <w:t>UASFs should be reserved for situations in which a proposal has demonstrated overwhelming community support but miner signaling is blocked by a small number of mining pool operators acting against their users’ interests. The original UASF rationale, articulated in BIP-148 and the contemporaneous bitcoin-dev mailing list discussions of early 2017, held that user-activated mechanisms transfer activation authority from miners to economic nodes when the two diverge. A UASF is an extraordinary measure. It should not be the default activation mechanism for any proposal.</w:t>
      </w:r>
    </w:p>
    <w:p w14:paraId="74D226F7" w14:textId="77777777" w:rsidR="0075379D" w:rsidRDefault="00F31183">
      <w:pPr>
        <w:spacing w:after="200" w:line="312" w:lineRule="auto"/>
        <w:jc w:val="both"/>
      </w:pPr>
      <w:r>
        <w:rPr>
          <w:color w:val="333333"/>
        </w:rPr>
        <w:t>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14:paraId="3D2DCF3C" w14:textId="77777777" w:rsidR="0075379D" w:rsidRDefault="00F31183">
      <w:pPr>
        <w:spacing w:before="240" w:after="120"/>
      </w:pPr>
      <w:r>
        <w:rPr>
          <w:rFonts w:ascii="Arial" w:eastAsia="Arial" w:hAnsi="Arial" w:cs="Arial"/>
          <w:b/>
          <w:bCs/>
          <w:color w:val="333333"/>
          <w:sz w:val="22"/>
          <w:szCs w:val="22"/>
        </w:rPr>
        <w:t>The 55% Problem</w:t>
      </w:r>
    </w:p>
    <w:p w14:paraId="2174143B" w14:textId="77777777" w:rsidR="0075379D" w:rsidRDefault="00F31183">
      <w:pPr>
        <w:spacing w:after="200" w:line="312" w:lineRule="auto"/>
        <w:jc w:val="both"/>
      </w:pPr>
      <w:r>
        <w:rPr>
          <w:color w:val="333333"/>
        </w:rPr>
        <w:t>BIP-110’s 55% threshold deserves specific discussion because it illustrates the danger of low thresholds. A 55% signaling threshold permits activation under conditions in which the hashrate actually enforcing the new rules at activation may not materially exceed 55%. The risk of a persistent minority chain depends on enforcement, not signaling — the two are not the same. If a meaningful share of post-activation hashrate produces blocks valid under the legacy rules but invalid under the new ones, those blocks will be rejected by activated nodes. The activated chain will fall behind the non-activated chain in cumulative proof of work, and activated nodes will be on a minority chain that, by Bitcoin’s own rules, is not the valid chain. The 95% threshold used by SegWit and the 90% threshold used by Taproot exist precisely to drive that probability toward zero. A 55% threshold makes a persistent split foreseeable.</w:t>
      </w:r>
    </w:p>
    <w:p w14:paraId="7D38D054" w14:textId="77777777" w:rsidR="0075379D" w:rsidRDefault="00F31183">
      <w:pPr>
        <w:spacing w:after="200" w:line="312" w:lineRule="auto"/>
        <w:jc w:val="both"/>
      </w:pPr>
      <w:r>
        <w:rPr>
          <w:color w:val="333333"/>
        </w:rPr>
        <w:t>A 55% threshold does not safely activate a soft fork. It produces the conditions historically associated with persistent minority chains: weeks or months of competing tips, ambiguous economic status for transactions confirmed on either side, and unresolved questions about the meaning of “Bitcoin” in contracts and on exchanges. The fact that P2SH used the same threshold in 2012 is not persuasive precedent: P2SH was a narrow, low-risk change to a network with a fraction of today’s value and user base. The stakes have changed. The standards must change with them.</w:t>
      </w:r>
    </w:p>
    <w:p w14:paraId="079D2FDD" w14:textId="77777777" w:rsidR="0075379D" w:rsidRDefault="00F31183">
      <w:pPr>
        <w:spacing w:before="240" w:after="120"/>
      </w:pPr>
      <w:r>
        <w:rPr>
          <w:rFonts w:ascii="Arial" w:eastAsia="Arial" w:hAnsi="Arial" w:cs="Arial"/>
          <w:b/>
          <w:bCs/>
          <w:color w:val="333333"/>
          <w:sz w:val="22"/>
          <w:szCs w:val="22"/>
        </w:rPr>
        <w:t>Quantifying the Risk</w:t>
      </w:r>
    </w:p>
    <w:p w14:paraId="3441E2D0" w14:textId="77777777" w:rsidR="0075379D" w:rsidRDefault="00F31183">
      <w:pPr>
        <w:spacing w:after="200" w:line="312" w:lineRule="auto"/>
        <w:jc w:val="both"/>
      </w:pPr>
      <w:r>
        <w:rPr>
          <w:color w:val="333333"/>
        </w:rPr>
        <w:t>The danger of a 55% threshold can be quantified. Model post-activation hashrate as enforcing (share E) and non-enforcing (share 1−E). Treat block production as a Bernoulli process: each block is, with probability E, valid under the new rules and built on the enforcing chain; with probability 1−E, it violates the new rules and extends a competing non-enforcing chain. Enforcing nodes follow the longest chain that is valid under the new rules; non-enforcing nodes follow the longest chain absolutely.</w:t>
      </w:r>
    </w:p>
    <w:p w14:paraId="5EA721DF" w14:textId="77777777" w:rsidR="0075379D" w:rsidRDefault="00F31183">
      <w:pPr>
        <w:spacing w:after="200" w:line="312" w:lineRule="auto"/>
        <w:jc w:val="both"/>
      </w:pPr>
      <w:r>
        <w:rPr>
          <w:color w:val="333333"/>
        </w:rPr>
        <w:t>The difference in cumulative work between the chains is a random walk with drift 2E−1 per block. The probability that, at some point during activation, the non-enforcing chain temporarily exceeds the enforcing chain by k blocks is well-approximated by ((1−E)/E)ᵏ. Substituting for k = 6, the depth at which most exchanges credit deposits as final:</w:t>
      </w:r>
    </w:p>
    <w:p w14:paraId="4CCB5FD2" w14:textId="77777777" w:rsidR="0075379D" w:rsidRDefault="00F31183">
      <w:pPr>
        <w:spacing w:after="200" w:line="312" w:lineRule="auto"/>
        <w:jc w:val="both"/>
      </w:pPr>
      <w:r>
        <w:rPr>
          <w:color w:val="333333"/>
        </w:rPr>
        <w:t>At E = 0.55, the probability of a six-block deficit on the enforcing chain during activation is approximately (0.45/0.55)⁶ ≈ 0.30 — roughly thirty percent. At E = 0.90, the same probability is approximately (0.10/0.90)⁶ ≈ 1.9×10⁻⁶. At E = 0.95, it is approximately (0.05/0.95)⁶ ≈ 2.1×10⁻⁸.</w:t>
      </w:r>
    </w:p>
    <w:p w14:paraId="3127E623" w14:textId="77777777" w:rsidR="0075379D" w:rsidRDefault="00F31183">
      <w:pPr>
        <w:spacing w:after="200" w:line="312" w:lineRule="auto"/>
        <w:jc w:val="both"/>
      </w:pPr>
      <w:r>
        <w:rPr>
          <w:color w:val="333333"/>
        </w:rPr>
        <w:t>Each such deficit represents an opportunity for a reorganization that orphans transactions previously confirmed on the enforcing chain. Exchanges that require six confirmations before crediting a deposit would, at E = 0.55, see roughly one in three confirmation chains exposed to a reorg event at some point during activation. At E = 0.90 or above, such events are statistically nonexistent over the relevant time horizons. The 55%, 90%, and 95% thresholds are not points on a linear spectrum of safety: they differ by five to seven orders of magnitude in expected reorganization exposure during activation.</w:t>
      </w:r>
    </w:p>
    <w:p w14:paraId="62B4A74D" w14:textId="77777777" w:rsidR="0075379D" w:rsidRDefault="00F31183">
      <w:pPr>
        <w:spacing w:after="200" w:line="312" w:lineRule="auto"/>
        <w:jc w:val="both"/>
      </w:pPr>
      <w:r>
        <w:rPr>
          <w:color w:val="333333"/>
        </w:rPr>
        <w:t>This analysis simplifies several factors. It assumes non-enforcing miners produce blocks at the natural rate proportional to their hashrate; in practice, miners may defect to whichever chain becomes profitable, accelerating consolidation. It also assumes that every non-enforcing block contains a transaction that activated nodes would reject; for proposals like BIP-110 that target common transaction patterns, this assumption is largely realized, but for narrower changes the effective fork rate is lower. Both factors affect the absolute magnitudes; neither changes the qualitative conclusion that low-threshold activations are quantitatively distinct from high-threshold ones in their risk profile.</w:t>
      </w:r>
    </w:p>
    <w:p w14:paraId="478325F7" w14:textId="77777777" w:rsidR="0075379D" w:rsidRDefault="00F31183">
      <w:pPr>
        <w:pStyle w:val="Heading2"/>
      </w:pPr>
      <w:r>
        <w:t>3.5 Chain Split Risk Assessment</w:t>
      </w:r>
    </w:p>
    <w:p w14:paraId="0D544B47" w14:textId="77777777" w:rsidR="0075379D" w:rsidRDefault="00F31183">
      <w:pPr>
        <w:spacing w:after="200" w:line="312" w:lineRule="auto"/>
        <w:jc w:val="both"/>
      </w:pPr>
      <w:r>
        <w:rPr>
          <w:color w:val="333333"/>
        </w:rPr>
        <w:t>Every consensus change proposal should include a formal chain split risk assessment addressing, at minimum:</w:t>
      </w:r>
    </w:p>
    <w:p w14:paraId="75D88E66" w14:textId="77777777" w:rsidR="0075379D" w:rsidRDefault="00F31183">
      <w:pPr>
        <w:spacing w:after="200" w:line="312" w:lineRule="auto"/>
        <w:jc w:val="both"/>
      </w:pPr>
      <w:r>
        <w:rPr>
          <w:b/>
          <w:bCs/>
          <w:color w:val="333333"/>
        </w:rPr>
        <w:t>A. Hashrate distribution analysis.</w:t>
      </w:r>
      <w:r>
        <w:rPr>
          <w:color w:val="333333"/>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14:paraId="0FDBD452" w14:textId="77777777" w:rsidR="0075379D" w:rsidRDefault="00F31183">
      <w:pPr>
        <w:spacing w:after="200" w:line="312" w:lineRule="auto"/>
        <w:jc w:val="both"/>
      </w:pPr>
      <w:r>
        <w:rPr>
          <w:b/>
          <w:bCs/>
          <w:color w:val="333333"/>
        </w:rPr>
        <w:t>B. Economic node analysis.</w:t>
      </w:r>
      <w:r>
        <w:rPr>
          <w:color w:val="333333"/>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14:paraId="7F6D0B9A" w14:textId="77777777" w:rsidR="0075379D" w:rsidRDefault="00F31183">
      <w:pPr>
        <w:spacing w:after="200" w:line="312" w:lineRule="auto"/>
        <w:jc w:val="both"/>
      </w:pPr>
      <w:r>
        <w:rPr>
          <w:b/>
          <w:bCs/>
          <w:color w:val="333333"/>
        </w:rPr>
        <w:t>C. Replay protection.</w:t>
      </w:r>
      <w:r>
        <w:rPr>
          <w:color w:val="333333"/>
        </w:rPr>
        <w:t xml:space="preserve"> If a chain split occurs, does the proposal include replay protection to prevent transactions from being valid on both chains? If not, what is the expected impact on users who are unaware of the split?</w:t>
      </w:r>
    </w:p>
    <w:p w14:paraId="15630D88" w14:textId="77777777" w:rsidR="0075379D" w:rsidRDefault="00F31183">
      <w:pPr>
        <w:spacing w:after="200" w:line="312" w:lineRule="auto"/>
        <w:jc w:val="both"/>
      </w:pPr>
      <w:r>
        <w:rPr>
          <w:b/>
          <w:bCs/>
          <w:color w:val="333333"/>
        </w:rPr>
        <w:t>D. Contingency plan.</w:t>
      </w:r>
      <w:r>
        <w:rPr>
          <w:color w:val="333333"/>
        </w:rPr>
        <w:t xml:space="preserve"> What happens if the activation fails? What happens if the activation succeeds but produces a persistent minority chain? Who is responsible for communicating the split to users, and how?</w:t>
      </w:r>
    </w:p>
    <w:p w14:paraId="140AD42E" w14:textId="77777777" w:rsidR="0075379D" w:rsidRDefault="00F31183">
      <w:pPr>
        <w:pStyle w:val="Heading2"/>
      </w:pPr>
      <w:r>
        <w:t>3.6 Sunset and Reversibility Requirements</w:t>
      </w:r>
    </w:p>
    <w:p w14:paraId="7E7A9DE8" w14:textId="77777777" w:rsidR="0075379D" w:rsidRDefault="00F31183">
      <w:pPr>
        <w:spacing w:after="200" w:line="312" w:lineRule="auto"/>
        <w:jc w:val="both"/>
      </w:pPr>
      <w:r>
        <w:rPr>
          <w:color w:val="333333"/>
        </w:rPr>
        <w:t>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14:paraId="4108CC23" w14:textId="77777777" w:rsidR="0075379D" w:rsidRDefault="00F31183">
      <w:pPr>
        <w:spacing w:after="200" w:line="312" w:lineRule="auto"/>
        <w:jc w:val="both"/>
      </w:pPr>
      <w:r>
        <w:rPr>
          <w:color w:val="333333"/>
        </w:rPr>
        <w:t>Specifically, a valid sunset clause must:</w:t>
      </w:r>
    </w:p>
    <w:p w14:paraId="098C2220" w14:textId="77777777" w:rsidR="0075379D" w:rsidRDefault="00F31183">
      <w:pPr>
        <w:spacing w:after="200" w:line="312" w:lineRule="auto"/>
        <w:jc w:val="both"/>
      </w:pPr>
      <w:r>
        <w:rPr>
          <w:b/>
          <w:bCs/>
          <w:color w:val="333333"/>
        </w:rPr>
        <w:t>A.</w:t>
      </w:r>
      <w:r>
        <w:rPr>
          <w:color w:val="333333"/>
        </w:rPr>
        <w:t xml:space="preserve"> Define an exact block height or median time past (MTP) at which the new rules cease to be enforced.</w:t>
      </w:r>
    </w:p>
    <w:p w14:paraId="6005DD12" w14:textId="77777777" w:rsidR="0075379D" w:rsidRDefault="00F31183">
      <w:pPr>
        <w:spacing w:after="200" w:line="312" w:lineRule="auto"/>
        <w:jc w:val="both"/>
      </w:pPr>
      <w:r>
        <w:rPr>
          <w:b/>
          <w:bCs/>
          <w:color w:val="333333"/>
        </w:rPr>
        <w:t>B.</w:t>
      </w:r>
      <w:r>
        <w:rPr>
          <w:color w:val="333333"/>
        </w:rPr>
        <w:t xml:space="preserve"> Be implemented in the activation client such that nodes automatically revert to pre-activation consensus rules upon reaching the sunset trigger.</w:t>
      </w:r>
    </w:p>
    <w:p w14:paraId="5BFEE543" w14:textId="77777777" w:rsidR="0075379D" w:rsidRDefault="00F31183">
      <w:pPr>
        <w:spacing w:after="200" w:line="312" w:lineRule="auto"/>
        <w:jc w:val="both"/>
      </w:pPr>
      <w:r>
        <w:rPr>
          <w:b/>
          <w:bCs/>
          <w:color w:val="333333"/>
        </w:rPr>
        <w:t>C.</w:t>
      </w:r>
      <w:r>
        <w:rPr>
          <w:color w:val="333333"/>
        </w:rPr>
        <w:t xml:space="preserve"> Be tested on testnet to confirm that deactivation works correctly and does not itself produce consensus failures.</w:t>
      </w:r>
    </w:p>
    <w:p w14:paraId="5CAE207E" w14:textId="77777777" w:rsidR="0075379D" w:rsidRDefault="00F31183">
      <w:pPr>
        <w:spacing w:after="200" w:line="312" w:lineRule="auto"/>
        <w:jc w:val="both"/>
      </w:pPr>
      <w:r>
        <w:rPr>
          <w:b/>
          <w:bCs/>
          <w:color w:val="333333"/>
        </w:rPr>
        <w:t>D.</w:t>
      </w:r>
      <w:r>
        <w:rPr>
          <w:color w:val="333333"/>
        </w:rPr>
        <w:t xml:space="preserve"> Not require a subsequent soft fork, hard fork, or software update to effectuate deactivation.</w:t>
      </w:r>
    </w:p>
    <w:p w14:paraId="1F2163DB" w14:textId="77777777" w:rsidR="0075379D" w:rsidRDefault="00F31183">
      <w:pPr>
        <w:spacing w:after="200" w:line="312" w:lineRule="auto"/>
        <w:jc w:val="both"/>
      </w:pPr>
      <w:r>
        <w:rPr>
          <w:color w:val="333333"/>
        </w:rPr>
        <w:t>A proposal that describes itself as temporary but requires active intervention to expire is not temporary. It is permanent with a stated aspiration.</w:t>
      </w:r>
    </w:p>
    <w:p w14:paraId="5F00997B" w14:textId="77777777" w:rsidR="0075379D" w:rsidRDefault="00F31183">
      <w:r>
        <w:br w:type="page"/>
      </w:r>
    </w:p>
    <w:p w14:paraId="350CE41E" w14:textId="77777777" w:rsidR="0075379D" w:rsidRDefault="00F31183">
      <w:pPr>
        <w:pStyle w:val="Heading1"/>
      </w:pPr>
      <w:r>
        <w:t>SECTION 4: LEGAL ANALYSIS</w:t>
      </w:r>
    </w:p>
    <w:p w14:paraId="4A9823F8" w14:textId="77777777" w:rsidR="0075379D" w:rsidRDefault="00F31183">
      <w:pPr>
        <w:spacing w:after="200" w:line="312" w:lineRule="auto"/>
        <w:jc w:val="both"/>
      </w:pPr>
      <w:r>
        <w:rPr>
          <w:color w:val="333333"/>
        </w:rPr>
        <w:t>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14:paraId="49A8CF76" w14:textId="77777777" w:rsidR="0075379D" w:rsidRDefault="00F31183">
      <w:pPr>
        <w:pStyle w:val="Heading2"/>
      </w:pPr>
      <w:r>
        <w:t>4.1 Negligence</w:t>
      </w:r>
    </w:p>
    <w:p w14:paraId="6C2BD10F" w14:textId="77777777" w:rsidR="0075379D" w:rsidRDefault="00F31183">
      <w:pPr>
        <w:spacing w:after="200" w:line="312" w:lineRule="auto"/>
        <w:jc w:val="both"/>
      </w:pPr>
      <w:r>
        <w:rPr>
          <w:color w:val="333333"/>
        </w:rPr>
        <w:t>Tort liability for negligence requires a duty of care, a breach of that duty, causation, and damages. The threshold question is whether the developers of a consensus change activation client owe a duty of care to node operators and users who run their software.</w:t>
      </w:r>
    </w:p>
    <w:p w14:paraId="68001B91" w14:textId="77777777" w:rsidR="0075379D" w:rsidRDefault="00F31183">
      <w:pPr>
        <w:spacing w:after="200" w:line="312" w:lineRule="auto"/>
        <w:jc w:val="both"/>
      </w:pPr>
      <w:r>
        <w:rPr>
          <w:color w:val="333333"/>
        </w:rPr>
        <w:t>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14:paraId="672E71E6" w14:textId="77777777" w:rsidR="0075379D" w:rsidRDefault="00F31183">
      <w:pPr>
        <w:spacing w:after="200" w:line="312" w:lineRule="auto"/>
        <w:jc w:val="both"/>
      </w:pPr>
      <w:r>
        <w:rPr>
          <w:color w:val="333333"/>
        </w:rPr>
        <w:t>A second doctrinal obstacle warrants attention. California’s economic loss rule generally bars recovery in tort for purely economic harm absent physical injury, property damage, or a special relationship giving rise to an independent duty. See Aas v. Superior Court, 24 Cal.4th 627 (2000); Robinson Helicopter Co. v. Dana Corp., 34 Cal.4th 979 (2004). The rule is a genuine impediment to a negligence theory against open-source developers whose users hold no contract with them and whose harm is financial rather than physical. Two routes around the rule remain viable. The multi-factor test of Biakanja v. Irving, 49 Cal.2d 647 (1958), permits a duty of care to non-contracting parties where the developer’s conduct was intended to affect the user, the harm was foreseeable, and policy supports liability. And where the developer makes representations about the safety or readiness of an activation client on which users foreseeably rely, negligent misrepresentation under Restatement (Second) of Torts § 552 supplies a recognized cause of action without confronting the economic loss bar. Both routes require facts beyond the bare release of buggy software; both are available on facts of the kind BIP-110 presents.</w:t>
      </w:r>
    </w:p>
    <w:p w14:paraId="7BD477CB" w14:textId="77777777" w:rsidR="0075379D" w:rsidRDefault="00F31183">
      <w:pPr>
        <w:spacing w:after="200" w:line="312" w:lineRule="auto"/>
        <w:jc w:val="both"/>
      </w:pPr>
      <w:r>
        <w:rPr>
          <w:color w:val="333333"/>
        </w:rPr>
        <w:t>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14:paraId="21048E86" w14:textId="77777777" w:rsidR="0075379D" w:rsidRDefault="00F31183">
      <w:pPr>
        <w:spacing w:after="200" w:line="312" w:lineRule="auto"/>
        <w:jc w:val="both"/>
      </w:pPr>
      <w:r>
        <w:rPr>
          <w:color w:val="333333"/>
        </w:rPr>
        <w:t>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14:paraId="46DC742F" w14:textId="77777777" w:rsidR="0075379D" w:rsidRDefault="00F31183">
      <w:pPr>
        <w:pStyle w:val="Heading2"/>
      </w:pPr>
      <w:r>
        <w:t>4.2 Tortious Interference</w:t>
      </w:r>
    </w:p>
    <w:p w14:paraId="1262102F" w14:textId="77777777" w:rsidR="0075379D" w:rsidRDefault="00F31183">
      <w:pPr>
        <w:spacing w:after="200" w:line="312" w:lineRule="auto"/>
        <w:jc w:val="both"/>
      </w:pPr>
      <w:r>
        <w:rPr>
          <w:color w:val="333333"/>
        </w:rPr>
        <w:t>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14:paraId="57139E22" w14:textId="77777777" w:rsidR="0075379D" w:rsidRDefault="00F31183">
      <w:pPr>
        <w:spacing w:after="200" w:line="312" w:lineRule="auto"/>
        <w:jc w:val="both"/>
      </w:pPr>
      <w:r>
        <w:rPr>
          <w:color w:val="333333"/>
        </w:rPr>
        <w:t>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14:paraId="26A66DFF" w14:textId="77777777" w:rsidR="0075379D" w:rsidRDefault="00F31183">
      <w:pPr>
        <w:spacing w:after="200" w:line="312" w:lineRule="auto"/>
        <w:jc w:val="both"/>
      </w:pPr>
      <w:r>
        <w:rPr>
          <w:color w:val="333333"/>
        </w:rPr>
        <w:t>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14:paraId="59D69BD6" w14:textId="77777777" w:rsidR="0075379D" w:rsidRDefault="00F31183">
      <w:pPr>
        <w:spacing w:after="200" w:line="312" w:lineRule="auto"/>
        <w:jc w:val="both"/>
      </w:pPr>
      <w:r>
        <w:rPr>
          <w:color w:val="333333"/>
        </w:rPr>
        <w:t>Two elements warrant emphasis. Tortious interference with contract requires intentional acts designed to disrupt performance, not merely conduct that has the foreseeable effect of doing so. See Pacific Gas &amp; Electric Co. v. Bear Stearns &amp; Co., 50 Cal.3d 1118 (1990). Tortious interference with prospective economic advantage requires, in addition, an independently wrongful act — conduct unlawful for reasons other than the interference itself. See Della Penna v. Toyota Motor Sales, U.S.A., Inc., 11 Cal.4th 376 (1995); Korea Supply Co. v. Lockheed Martin Corp., 29 Cal.4th 1134 (2003). A developer who promotes an activation client out of ideological conviction will not typically meet either standard. The live claims are those in which the proponent of a consensus change has documented economic exposure to the outcome — a financial position whose value depends on which chain prevails — and the proponent’s promotion can fairly be characterized as instrumental rather than principled. Such cases are not hypothetical. The framework’s documentary requirements — problem statement, backward compatibility analysis, contingency plan — are themselves designed to create the record by which such inquiries can be conducted.</w:t>
      </w:r>
    </w:p>
    <w:p w14:paraId="19255688" w14:textId="77777777" w:rsidR="0075379D" w:rsidRDefault="00F31183">
      <w:pPr>
        <w:pStyle w:val="Heading2"/>
      </w:pPr>
      <w:r>
        <w:t>4.3 Fiduciary Duties</w:t>
      </w:r>
    </w:p>
    <w:p w14:paraId="48756790" w14:textId="77777777" w:rsidR="0075379D" w:rsidRDefault="00F31183">
      <w:pPr>
        <w:spacing w:after="200" w:line="312" w:lineRule="auto"/>
        <w:jc w:val="both"/>
      </w:pPr>
      <w:r>
        <w:rPr>
          <w:color w:val="333333"/>
        </w:rPr>
        <w:t>Some legal scholars have argued that Bitcoin developers owe fiduciary duties to Bitcoin holders, analogous to the duties owed by corporate directors to shareholders. The most developed version of this argument is Angela Walch, “In Code(rs) We Trust: Software Developers as Fiduciaries in Public Blockchains,” in Regulating Blockchain: Techno-Social and Legal Challenges (Hacker, Lianos, Dimitropoulos &amp; Eich eds., Oxford University Press 2019), which contends that core protocol developers exercise discretionary authority over property interests in a manner that triggers fiduciary obligations under traditional principles. This argument has been most fully developed in the Tulip Trading litigation in the United Kingdom. In Tulip Trading Ltd v van der Laan [2023] EWCA Civ 83, the Court of Appeal of England and Wales did not adjudicate whether Bitcoin Core developers owe a fiduciary duty to holders of lost Bitcoin. It held only that the claim was sufficiently arguable to survive a strike-out application and should proceed to trial. The case thus stands not for the proposition that developers owe such duties, but for the proposition that the question is justiciable on appropriate facts.</w:t>
      </w:r>
    </w:p>
    <w:p w14:paraId="5B12D614" w14:textId="77777777" w:rsidR="0075379D" w:rsidRDefault="00F31183">
      <w:pPr>
        <w:spacing w:after="200" w:line="312" w:lineRule="auto"/>
        <w:jc w:val="both"/>
      </w:pPr>
      <w:r>
        <w:rPr>
          <w:color w:val="333333"/>
        </w:rPr>
        <w:t>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14:paraId="7CABA424" w14:textId="77777777" w:rsidR="0075379D" w:rsidRDefault="00F31183">
      <w:pPr>
        <w:spacing w:after="200" w:line="312" w:lineRule="auto"/>
        <w:jc w:val="both"/>
      </w:pPr>
      <w:r>
        <w:rPr>
          <w:color w:val="333333"/>
        </w:rPr>
        <w:t>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14:paraId="5FC4E1FA" w14:textId="77777777" w:rsidR="0075379D" w:rsidRDefault="00F31183">
      <w:pPr>
        <w:pStyle w:val="Heading2"/>
      </w:pPr>
      <w:r>
        <w:t>4.4 Mining and Node Operator Liability</w:t>
      </w:r>
    </w:p>
    <w:p w14:paraId="1F1E190D" w14:textId="77777777" w:rsidR="0075379D" w:rsidRDefault="00F31183">
      <w:pPr>
        <w:spacing w:after="200" w:line="312" w:lineRule="auto"/>
        <w:jc w:val="both"/>
      </w:pPr>
      <w:r>
        <w:rPr>
          <w:color w:val="333333"/>
        </w:rPr>
        <w:t>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14:paraId="60B3CA68" w14:textId="77777777" w:rsidR="0075379D" w:rsidRDefault="00F31183">
      <w:pPr>
        <w:spacing w:after="200" w:line="312" w:lineRule="auto"/>
        <w:jc w:val="both"/>
      </w:pPr>
      <w:r>
        <w:rPr>
          <w:color w:val="333333"/>
        </w:rPr>
        <w:t>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 The most likely cause of action is breach of contract: pool terms of service and service agreements typically obligate the operator to direct connected hashrate with reasonable care, and signaling for a consensus change that exposes connected miners to orphaned blocks is the kind of decision that brings such obligations into play. Where the pool agreement is silent on consensus signaling, the implied covenant of good faith and fair dealing may supply the duty. Negligence remains available as a backstop, subject to the economic-loss-rule limitations discussed above.</w:t>
      </w:r>
    </w:p>
    <w:p w14:paraId="6C68EAF2" w14:textId="77777777" w:rsidR="0075379D" w:rsidRDefault="00F31183">
      <w:pPr>
        <w:pStyle w:val="Heading2"/>
      </w:pPr>
      <w:r>
        <w:t>4.5 Regulatory Consequences</w:t>
      </w:r>
    </w:p>
    <w:p w14:paraId="100A26BA" w14:textId="77777777" w:rsidR="0075379D" w:rsidRDefault="00F31183">
      <w:pPr>
        <w:spacing w:after="200" w:line="312" w:lineRule="auto"/>
        <w:jc w:val="both"/>
      </w:pPr>
      <w:r>
        <w:rPr>
          <w:color w:val="333333"/>
        </w:rPr>
        <w:t>Beyond direct liability, 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14:paraId="707C54C1" w14:textId="77777777" w:rsidR="0075379D" w:rsidRDefault="00F31183">
      <w:pPr>
        <w:spacing w:after="200" w:line="312" w:lineRule="auto"/>
        <w:jc w:val="both"/>
      </w:pPr>
      <w:r>
        <w:rPr>
          <w:color w:val="333333"/>
        </w:rPr>
        <w:t>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14:paraId="6CCC703D" w14:textId="77777777" w:rsidR="0075379D" w:rsidRDefault="00F31183">
      <w:r>
        <w:br w:type="page"/>
      </w:r>
    </w:p>
    <w:p w14:paraId="79FAC560" w14:textId="77777777" w:rsidR="0075379D" w:rsidRDefault="00F31183">
      <w:pPr>
        <w:pStyle w:val="Heading1"/>
      </w:pPr>
      <w:r>
        <w:t>SECTION 5: PROPOSED STANDARDS</w:t>
      </w:r>
    </w:p>
    <w:p w14:paraId="2472DF66" w14:textId="77777777" w:rsidR="0075379D" w:rsidRDefault="00F31183">
      <w:pPr>
        <w:spacing w:after="200" w:line="312" w:lineRule="auto"/>
        <w:jc w:val="both"/>
      </w:pPr>
      <w:r>
        <w:rPr>
          <w:color w:val="333333"/>
        </w:rPr>
        <w:t>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14:paraId="65F118B4" w14:textId="77777777" w:rsidR="0075379D" w:rsidRDefault="00F31183">
      <w:pPr>
        <w:pStyle w:val="Heading2"/>
      </w:pPr>
      <w:r>
        <w:t>5.1 The Consensus Change Readiness Checklist</w:t>
      </w:r>
    </w:p>
    <w:p w14:paraId="6D4DAA9F" w14:textId="77777777" w:rsidR="0075379D" w:rsidRDefault="00F31183">
      <w:pPr>
        <w:spacing w:before="240" w:after="120"/>
      </w:pPr>
      <w:r>
        <w:rPr>
          <w:rFonts w:ascii="Arial" w:eastAsia="Arial" w:hAnsi="Arial" w:cs="Arial"/>
          <w:b/>
          <w:bCs/>
          <w:color w:val="333333"/>
          <w:sz w:val="22"/>
          <w:szCs w:val="22"/>
        </w:rPr>
        <w:t>A. Proposal Quality</w:t>
      </w:r>
    </w:p>
    <w:p w14:paraId="579791EB" w14:textId="77777777" w:rsidR="0075379D" w:rsidRDefault="00F31183">
      <w:pPr>
        <w:spacing w:after="200" w:line="312" w:lineRule="auto"/>
        <w:jc w:val="both"/>
      </w:pPr>
      <w:r>
        <w:rPr>
          <w:color w:val="333333"/>
        </w:rPr>
        <w:t>1. Does the proposal include a clear, empirically supported problem statement?</w:t>
      </w:r>
    </w:p>
    <w:p w14:paraId="6CC5BD75" w14:textId="77777777" w:rsidR="0075379D" w:rsidRDefault="00F31183">
      <w:pPr>
        <w:spacing w:after="200" w:line="312" w:lineRule="auto"/>
        <w:jc w:val="both"/>
      </w:pPr>
      <w:r>
        <w:rPr>
          <w:color w:val="333333"/>
        </w:rPr>
        <w:t>2. Does the proposal include a complete technical specification sufficient for independent implementation?</w:t>
      </w:r>
    </w:p>
    <w:p w14:paraId="79023094" w14:textId="77777777" w:rsidR="0075379D" w:rsidRDefault="00F31183">
      <w:pPr>
        <w:spacing w:after="200" w:line="312" w:lineRule="auto"/>
        <w:jc w:val="both"/>
      </w:pPr>
      <w:r>
        <w:rPr>
          <w:color w:val="333333"/>
        </w:rPr>
        <w:t>3. Does the proposal include a backward compatibility analysis identifying all affected transaction types, scripts, and use cases?</w:t>
      </w:r>
    </w:p>
    <w:p w14:paraId="640EA05D" w14:textId="77777777" w:rsidR="0075379D" w:rsidRDefault="00F31183">
      <w:pPr>
        <w:spacing w:after="200" w:line="312" w:lineRule="auto"/>
        <w:jc w:val="both"/>
      </w:pPr>
      <w:r>
        <w:rPr>
          <w:color w:val="333333"/>
        </w:rPr>
        <w:t>4. Does the proposal include a fully specified activation mechanism with defined thresholds, timelines, and failure modes?</w:t>
      </w:r>
    </w:p>
    <w:p w14:paraId="202B00B4" w14:textId="77777777" w:rsidR="0075379D" w:rsidRDefault="00F31183">
      <w:pPr>
        <w:spacing w:after="200" w:line="312" w:lineRule="auto"/>
        <w:jc w:val="both"/>
      </w:pPr>
      <w:r>
        <w:rPr>
          <w:color w:val="333333"/>
        </w:rPr>
        <w:t>5. Does the proposal include a rollback procedure? If described as temporary, does it include a self-executing sunset clause?</w:t>
      </w:r>
    </w:p>
    <w:p w14:paraId="2CC6C8F7" w14:textId="77777777" w:rsidR="0075379D" w:rsidRDefault="00F31183">
      <w:pPr>
        <w:spacing w:before="240" w:after="120"/>
      </w:pPr>
      <w:r>
        <w:rPr>
          <w:rFonts w:ascii="Arial" w:eastAsia="Arial" w:hAnsi="Arial" w:cs="Arial"/>
          <w:b/>
          <w:bCs/>
          <w:color w:val="333333"/>
          <w:sz w:val="22"/>
          <w:szCs w:val="22"/>
        </w:rPr>
        <w:t>B. Code Quality</w:t>
      </w:r>
    </w:p>
    <w:p w14:paraId="611881D2" w14:textId="77777777" w:rsidR="0075379D" w:rsidRDefault="00F31183">
      <w:pPr>
        <w:spacing w:after="200" w:line="312" w:lineRule="auto"/>
        <w:jc w:val="both"/>
      </w:pPr>
      <w:r>
        <w:rPr>
          <w:color w:val="333333"/>
        </w:rPr>
        <w:t>6. Has the reference implementation been reviewed by at least three independent developers with demonstrated Bitcoin protocol expertise?</w:t>
      </w:r>
    </w:p>
    <w:p w14:paraId="04394A2E" w14:textId="77777777" w:rsidR="0075379D" w:rsidRDefault="00F31183">
      <w:pPr>
        <w:spacing w:after="200" w:line="312" w:lineRule="auto"/>
        <w:jc w:val="both"/>
      </w:pPr>
      <w:r>
        <w:rPr>
          <w:color w:val="333333"/>
        </w:rPr>
        <w:t>7. Does the reference implementation include comprehensive unit, integration, and regression tests?</w:t>
      </w:r>
    </w:p>
    <w:p w14:paraId="24DF87FA" w14:textId="77777777" w:rsidR="0075379D" w:rsidRDefault="00F31183">
      <w:pPr>
        <w:spacing w:after="200" w:line="312" w:lineRule="auto"/>
        <w:jc w:val="both"/>
      </w:pPr>
      <w:r>
        <w:rPr>
          <w:color w:val="333333"/>
        </w:rPr>
        <w:t>8. Has the activation client been deployed on testnet for at least three months?</w:t>
      </w:r>
    </w:p>
    <w:p w14:paraId="2E703D51" w14:textId="77777777" w:rsidR="0075379D" w:rsidRDefault="00F31183">
      <w:pPr>
        <w:spacing w:after="200" w:line="312" w:lineRule="auto"/>
        <w:jc w:val="both"/>
      </w:pPr>
      <w:r>
        <w:rPr>
          <w:color w:val="333333"/>
        </w:rPr>
        <w:t>9. Has the code been subjected to fuzzing and adversarial testing?</w:t>
      </w:r>
    </w:p>
    <w:p w14:paraId="22ED0872" w14:textId="77777777" w:rsidR="0075379D" w:rsidRDefault="00F31183">
      <w:pPr>
        <w:spacing w:after="200" w:line="312" w:lineRule="auto"/>
        <w:jc w:val="both"/>
      </w:pPr>
      <w:r>
        <w:rPr>
          <w:color w:val="333333"/>
        </w:rPr>
        <w:t>10. If AI coding tools were used, has this been disclosed and has the code received heightened review?</w:t>
      </w:r>
    </w:p>
    <w:p w14:paraId="7A69C3D8" w14:textId="77777777" w:rsidR="0075379D" w:rsidRDefault="00F31183">
      <w:pPr>
        <w:spacing w:before="240" w:after="120"/>
      </w:pPr>
      <w:r>
        <w:rPr>
          <w:rFonts w:ascii="Arial" w:eastAsia="Arial" w:hAnsi="Arial" w:cs="Arial"/>
          <w:b/>
          <w:bCs/>
          <w:color w:val="333333"/>
          <w:sz w:val="22"/>
          <w:szCs w:val="22"/>
        </w:rPr>
        <w:t>C. Activation Safety</w:t>
      </w:r>
    </w:p>
    <w:p w14:paraId="468B2BC8" w14:textId="77777777" w:rsidR="0075379D" w:rsidRDefault="00F31183">
      <w:pPr>
        <w:spacing w:after="200" w:line="312" w:lineRule="auto"/>
        <w:jc w:val="both"/>
      </w:pPr>
      <w:r>
        <w:rPr>
          <w:color w:val="333333"/>
        </w:rPr>
        <w:t>11. Is the activation threshold at or above 90% for a MASF?</w:t>
      </w:r>
    </w:p>
    <w:p w14:paraId="641B6A4D" w14:textId="77777777" w:rsidR="0075379D" w:rsidRDefault="00F31183">
      <w:pPr>
        <w:spacing w:after="200" w:line="312" w:lineRule="auto"/>
        <w:jc w:val="both"/>
      </w:pPr>
      <w:r>
        <w:rPr>
          <w:color w:val="333333"/>
        </w:rPr>
        <w:t>12. If a UASF mechanism is proposed, has the proposal completed its full minimum review period and demonstrated broad support among economic nodes?</w:t>
      </w:r>
    </w:p>
    <w:p w14:paraId="0AC9F33A" w14:textId="77777777" w:rsidR="0075379D" w:rsidRDefault="00F31183">
      <w:pPr>
        <w:spacing w:after="200" w:line="312" w:lineRule="auto"/>
        <w:jc w:val="both"/>
      </w:pPr>
      <w:r>
        <w:rPr>
          <w:color w:val="333333"/>
        </w:rPr>
        <w:t>13. Has a chain split risk assessment been completed and published?</w:t>
      </w:r>
    </w:p>
    <w:p w14:paraId="0084B717" w14:textId="77777777" w:rsidR="0075379D" w:rsidRDefault="00F31183">
      <w:pPr>
        <w:spacing w:after="200" w:line="312" w:lineRule="auto"/>
        <w:jc w:val="both"/>
      </w:pPr>
      <w:r>
        <w:rPr>
          <w:color w:val="333333"/>
        </w:rPr>
        <w:t>14. Does the proposal include replay protection or, where the proposal is a soft fork that cannot produce a chain split absent miner defection, a documented rationale for its absence?</w:t>
      </w:r>
    </w:p>
    <w:p w14:paraId="7E70979D" w14:textId="77777777" w:rsidR="0075379D" w:rsidRDefault="00F31183">
      <w:pPr>
        <w:spacing w:after="200" w:line="312" w:lineRule="auto"/>
        <w:jc w:val="both"/>
      </w:pPr>
      <w:r>
        <w:rPr>
          <w:color w:val="333333"/>
        </w:rPr>
        <w:t>15. Has the activation timeline been set at least six months from the publication of the final activation client?</w:t>
      </w:r>
    </w:p>
    <w:p w14:paraId="40754CF6" w14:textId="77777777" w:rsidR="0075379D" w:rsidRDefault="00F31183">
      <w:pPr>
        <w:spacing w:before="240" w:after="120"/>
      </w:pPr>
      <w:r>
        <w:rPr>
          <w:rFonts w:ascii="Arial" w:eastAsia="Arial" w:hAnsi="Arial" w:cs="Arial"/>
          <w:b/>
          <w:bCs/>
          <w:color w:val="333333"/>
          <w:sz w:val="22"/>
          <w:szCs w:val="22"/>
        </w:rPr>
        <w:t>D. Community Process</w:t>
      </w:r>
    </w:p>
    <w:p w14:paraId="6F16402C" w14:textId="77777777" w:rsidR="0075379D" w:rsidRDefault="00F31183">
      <w:pPr>
        <w:spacing w:after="200" w:line="312" w:lineRule="auto"/>
        <w:jc w:val="both"/>
      </w:pPr>
      <w:r>
        <w:rPr>
          <w:color w:val="333333"/>
        </w:rPr>
        <w:t>16. Has the proposal completed the minimum review period for its risk category (twelve months for moderate-risk, twenty-four months for high-risk)?</w:t>
      </w:r>
    </w:p>
    <w:p w14:paraId="43A8CAC6" w14:textId="77777777" w:rsidR="0075379D" w:rsidRDefault="00F31183">
      <w:pPr>
        <w:spacing w:after="200" w:line="312" w:lineRule="auto"/>
        <w:jc w:val="both"/>
      </w:pPr>
      <w:r>
        <w:rPr>
          <w:color w:val="333333"/>
        </w:rPr>
        <w:t>17. Has the proposal been discussed in public forums with participation from a diverse cross-section of the community (developers, miners, node operators, businesses, users)?</w:t>
      </w:r>
    </w:p>
    <w:p w14:paraId="3D77F242" w14:textId="77777777" w:rsidR="0075379D" w:rsidRDefault="00F31183">
      <w:pPr>
        <w:spacing w:after="200" w:line="312" w:lineRule="auto"/>
        <w:jc w:val="both"/>
      </w:pPr>
      <w:r>
        <w:rPr>
          <w:color w:val="333333"/>
        </w:rPr>
        <w:t>18. Have major exchanges and infrastructure providers been consulted regarding the proposal’s impact on their operations?</w:t>
      </w:r>
    </w:p>
    <w:p w14:paraId="3D95B022" w14:textId="77777777" w:rsidR="0075379D" w:rsidRDefault="00F31183">
      <w:pPr>
        <w:spacing w:after="200" w:line="312" w:lineRule="auto"/>
        <w:jc w:val="both"/>
      </w:pPr>
      <w:r>
        <w:rPr>
          <w:color w:val="333333"/>
        </w:rPr>
        <w:t>19. Has the proposal’s author published a chain split contingency plan?</w:t>
      </w:r>
    </w:p>
    <w:p w14:paraId="3292E03E" w14:textId="77777777" w:rsidR="0075379D" w:rsidRDefault="00F31183">
      <w:pPr>
        <w:spacing w:after="200" w:line="312" w:lineRule="auto"/>
        <w:jc w:val="both"/>
      </w:pPr>
      <w:r>
        <w:rPr>
          <w:color w:val="333333"/>
        </w:rPr>
        <w:t>20. Has the proposal been evaluated against this framework, with the results published?</w:t>
      </w:r>
    </w:p>
    <w:p w14:paraId="47B186D6" w14:textId="77777777" w:rsidR="0075379D" w:rsidRDefault="00F31183">
      <w:pPr>
        <w:pStyle w:val="Heading2"/>
      </w:pPr>
      <w:r>
        <w:t>5.2 Scoring</w:t>
      </w:r>
    </w:p>
    <w:p w14:paraId="008E9132" w14:textId="77777777" w:rsidR="0075379D" w:rsidRDefault="00F31183">
      <w:pPr>
        <w:spacing w:after="200" w:line="312" w:lineRule="auto"/>
        <w:jc w:val="both"/>
      </w:pPr>
      <w:r>
        <w:rPr>
          <w:color w:val="333333"/>
        </w:rPr>
        <w:t>Each of the twenty criteria above receives a binary score: met or not met. Proposals are classified as follows:</w:t>
      </w:r>
    </w:p>
    <w:p w14:paraId="7864C948" w14:textId="77777777" w:rsidR="0075379D" w:rsidRDefault="00F31183">
      <w:pPr>
        <w:spacing w:after="200" w:line="312" w:lineRule="auto"/>
        <w:jc w:val="both"/>
      </w:pPr>
      <w:r>
        <w:rPr>
          <w:b/>
          <w:bCs/>
          <w:color w:val="333333"/>
        </w:rPr>
        <w:t>20/20: Green.</w:t>
      </w:r>
      <w:r>
        <w:rPr>
          <w:color w:val="333333"/>
        </w:rPr>
        <w:t xml:space="preserve"> The proposal has met all minimum standards and is ready for activation signaling.</w:t>
      </w:r>
    </w:p>
    <w:p w14:paraId="4D8AD01C" w14:textId="77777777" w:rsidR="0075379D" w:rsidRDefault="00F31183">
      <w:pPr>
        <w:spacing w:after="200" w:line="312" w:lineRule="auto"/>
        <w:jc w:val="both"/>
      </w:pPr>
      <w:r>
        <w:rPr>
          <w:b/>
          <w:bCs/>
          <w:color w:val="333333"/>
        </w:rPr>
        <w:t>15–19/20: Yellow.</w:t>
      </w:r>
      <w:r>
        <w:rPr>
          <w:color w:val="333333"/>
        </w:rPr>
        <w:t xml:space="preserve"> The proposal has met most standards but has identified gaps that should be addressed before activation.</w:t>
      </w:r>
    </w:p>
    <w:p w14:paraId="615E986A" w14:textId="77777777" w:rsidR="0075379D" w:rsidRDefault="00F31183">
      <w:pPr>
        <w:spacing w:after="200" w:line="312" w:lineRule="auto"/>
        <w:jc w:val="both"/>
      </w:pPr>
      <w:r>
        <w:rPr>
          <w:b/>
          <w:bCs/>
          <w:color w:val="333333"/>
        </w:rPr>
        <w:t>10–14/20: Orange.</w:t>
      </w:r>
      <w:r>
        <w:rPr>
          <w:color w:val="333333"/>
        </w:rPr>
        <w:t xml:space="preserve"> The proposal has significant deficiencies and should not proceed to activation signaling until they are resolved.</w:t>
      </w:r>
    </w:p>
    <w:p w14:paraId="0509F6F9" w14:textId="77777777" w:rsidR="0075379D" w:rsidRDefault="00F31183">
      <w:pPr>
        <w:spacing w:after="200" w:line="312" w:lineRule="auto"/>
        <w:jc w:val="both"/>
      </w:pPr>
      <w:r>
        <w:rPr>
          <w:b/>
          <w:bCs/>
          <w:color w:val="333333"/>
        </w:rPr>
        <w:t>Below 10/20: Red.</w:t>
      </w:r>
      <w:r>
        <w:rPr>
          <w:color w:val="333333"/>
        </w:rPr>
        <w:t xml:space="preserve"> The proposal fails to meet minimum standards for serious consideration. Activation should be actively resisted through: (a) public documentation of the deficiencies measured against this framework; (b) coordination among economic nodes — exchanges, custodians, payment processors, and major holders — to refuse to recognize the activated chain as “Bitcoin” for purposes of contracts, deposits, and withdrawals; (c) running non-signaling, non-activation client software; and (d) where activation proceeds despite these objections, publication of a chain-split contingency plan to ensure user safety and minimize the economic damage of the resulting fracture.</w:t>
      </w:r>
    </w:p>
    <w:p w14:paraId="6A54677A" w14:textId="77777777" w:rsidR="0075379D" w:rsidRDefault="00F31183">
      <w:pPr>
        <w:spacing w:after="200" w:line="312" w:lineRule="auto"/>
        <w:jc w:val="both"/>
      </w:pPr>
      <w:r>
        <w:rPr>
          <w:color w:val="333333"/>
        </w:rPr>
        <w:t>For reference, BIP-110 would score approximately 3/20 under this framework: credit for having a technical specification, a defined activation mechanism, and a self-executing sunset clause (though one whose deactivation was not demonstrably tested on testnet); no credit for adequate review period, code quality, independent review, activation safety, or community process. Taproot would score approximately 18/20: criteria 19 (a chain-split contingency plan in the form proposed here) and 20 (evaluation against this framework) postdate Taproot’s activation and so are scored as not met, while every other criterion was met or exceeded.</w:t>
      </w:r>
    </w:p>
    <w:p w14:paraId="431295ED" w14:textId="77777777" w:rsidR="0075379D" w:rsidRDefault="00F31183">
      <w:r>
        <w:br w:type="page"/>
      </w:r>
    </w:p>
    <w:p w14:paraId="3B0E8070" w14:textId="77777777" w:rsidR="0075379D" w:rsidRDefault="00F31183">
      <w:pPr>
        <w:pStyle w:val="Heading1"/>
      </w:pPr>
      <w:r>
        <w:t>SECTION 6: OBJECTIONS AND RESPONSES</w:t>
      </w:r>
    </w:p>
    <w:p w14:paraId="36620C46" w14:textId="77777777" w:rsidR="0075379D" w:rsidRDefault="00F31183">
      <w:pPr>
        <w:pStyle w:val="Heading2"/>
      </w:pPr>
      <w:r>
        <w:t>6.1 “Bitcoin has no governance.”</w:t>
      </w:r>
    </w:p>
    <w:p w14:paraId="6A7DAD1F" w14:textId="77777777" w:rsidR="0075379D" w:rsidRDefault="00F31183">
      <w:pPr>
        <w:spacing w:after="200" w:line="312" w:lineRule="auto"/>
        <w:jc w:val="both"/>
      </w:pPr>
      <w:r>
        <w:rPr>
          <w:color w:val="333333"/>
        </w:rPr>
        <w:t>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w:t>
      </w:r>
    </w:p>
    <w:p w14:paraId="72677A57" w14:textId="77777777" w:rsidR="0075379D" w:rsidRDefault="00F31183">
      <w:pPr>
        <w:pStyle w:val="Heading2"/>
      </w:pPr>
      <w:r>
        <w:t>6.2 “Anyone can run whatever software they want.”</w:t>
      </w:r>
    </w:p>
    <w:p w14:paraId="06CD5405" w14:textId="77777777" w:rsidR="0075379D" w:rsidRDefault="00F31183">
      <w:pPr>
        <w:spacing w:after="200" w:line="312" w:lineRule="auto"/>
        <w:jc w:val="both"/>
      </w:pPr>
      <w:r>
        <w:rPr>
          <w:color w:val="333333"/>
        </w:rPr>
        <w:t>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14:paraId="0E1CF366" w14:textId="77777777" w:rsidR="0075379D" w:rsidRDefault="00F31183">
      <w:pPr>
        <w:pStyle w:val="Heading2"/>
      </w:pPr>
      <w:r>
        <w:t>6.3 “This framework would prevent necessary changes.”</w:t>
      </w:r>
    </w:p>
    <w:p w14:paraId="07B250A6" w14:textId="77777777" w:rsidR="0075379D" w:rsidRDefault="00F31183">
      <w:pPr>
        <w:spacing w:after="200" w:line="312" w:lineRule="auto"/>
        <w:jc w:val="both"/>
      </w:pPr>
      <w:r>
        <w:rPr>
          <w:color w:val="333333"/>
        </w:rPr>
        <w:t>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14:paraId="5ECC9372" w14:textId="77777777" w:rsidR="0075379D" w:rsidRDefault="00F31183">
      <w:pPr>
        <w:spacing w:after="200" w:line="312" w:lineRule="auto"/>
        <w:jc w:val="both"/>
      </w:pPr>
      <w:r>
        <w:rPr>
          <w:color w:val="333333"/>
        </w:rPr>
        <w:t>Bitcoin’s value proposition is stability, predictability, and resistance to arbitrary change. A framework that makes consensus changes harder to execute is aligned with that value proposition, not contrary to it.</w:t>
      </w:r>
    </w:p>
    <w:p w14:paraId="69415D85" w14:textId="77777777" w:rsidR="0075379D" w:rsidRDefault="00F31183">
      <w:pPr>
        <w:pStyle w:val="Heading2"/>
      </w:pPr>
      <w:r>
        <w:t>6.4 “Who decides whether the standards are met?”</w:t>
      </w:r>
    </w:p>
    <w:p w14:paraId="0BADA0BE" w14:textId="77777777" w:rsidR="0075379D" w:rsidRDefault="00F31183">
      <w:pPr>
        <w:spacing w:after="200" w:line="312" w:lineRule="auto"/>
        <w:jc w:val="both"/>
      </w:pPr>
      <w:r>
        <w:rPr>
          <w:color w:val="333333"/>
        </w:rPr>
        <w:t>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14:paraId="1EFC624E" w14:textId="77777777" w:rsidR="0075379D" w:rsidRDefault="00F31183">
      <w:pPr>
        <w:pStyle w:val="Heading2"/>
      </w:pPr>
      <w:r>
        <w:t>6.5 “The legal analysis is speculative.”</w:t>
      </w:r>
    </w:p>
    <w:p w14:paraId="5354168A" w14:textId="77777777" w:rsidR="0075379D" w:rsidRDefault="00F31183">
      <w:pPr>
        <w:spacing w:after="200" w:line="312" w:lineRule="auto"/>
        <w:jc w:val="both"/>
      </w:pPr>
      <w:r>
        <w:rPr>
          <w:color w:val="333333"/>
        </w:rPr>
        <w:t>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14:paraId="5BF17B8E" w14:textId="77777777" w:rsidR="0075379D" w:rsidRDefault="00F31183">
      <w:r>
        <w:br w:type="page"/>
      </w:r>
    </w:p>
    <w:p w14:paraId="5A1DE51B" w14:textId="77777777" w:rsidR="0075379D" w:rsidRDefault="00F31183">
      <w:pPr>
        <w:pStyle w:val="Heading1"/>
      </w:pPr>
      <w:r>
        <w:t>SECTION 7: CONCLUSION</w:t>
      </w:r>
    </w:p>
    <w:p w14:paraId="47EB1393" w14:textId="77777777" w:rsidR="0075379D" w:rsidRDefault="00F31183">
      <w:pPr>
        <w:spacing w:after="200" w:line="312" w:lineRule="auto"/>
        <w:jc w:val="both"/>
      </w:pPr>
      <w:r>
        <w:rPr>
          <w:color w:val="333333"/>
        </w:rPr>
        <w:t>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14:paraId="205AD548" w14:textId="77777777" w:rsidR="0075379D" w:rsidRDefault="00F31183">
      <w:pPr>
        <w:spacing w:after="200" w:line="312" w:lineRule="auto"/>
        <w:jc w:val="both"/>
      </w:pPr>
      <w:r>
        <w:rPr>
          <w:color w:val="333333"/>
        </w:rPr>
        <w:t>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 BIP-110 stalled, but its failure to activate is a fact of community vigilance, not of structural protection. The next proposal of its kind will arrive on the same terms — no required review, no minimum code quality, no agreed-upon threshold — unless this gap is filled.</w:t>
      </w:r>
    </w:p>
    <w:p w14:paraId="57B4EDB1" w14:textId="77777777" w:rsidR="0075379D" w:rsidRDefault="00F31183">
      <w:pPr>
        <w:spacing w:after="200" w:line="312" w:lineRule="auto"/>
        <w:jc w:val="both"/>
      </w:pPr>
      <w:r>
        <w:rPr>
          <w:color w:val="333333"/>
        </w:rPr>
        <w:t>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14:paraId="530F8487" w14:textId="77777777" w:rsidR="0075379D" w:rsidRDefault="00F31183">
      <w:pPr>
        <w:spacing w:after="200" w:line="312" w:lineRule="auto"/>
        <w:jc w:val="both"/>
      </w:pPr>
      <w:r>
        <w:rPr>
          <w:color w:val="333333"/>
        </w:rPr>
        <w:t>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14:paraId="155C1818" w14:textId="77777777" w:rsidR="0075379D" w:rsidRDefault="0075379D">
      <w:pPr>
        <w:spacing w:before="480"/>
      </w:pPr>
    </w:p>
    <w:p w14:paraId="09151D86" w14:textId="77777777" w:rsidR="0075379D" w:rsidRDefault="00F31183">
      <w:pPr>
        <w:pBdr>
          <w:top w:val="single" w:sz="6" w:space="20" w:color="F7931A"/>
        </w:pBdr>
        <w:spacing w:before="200" w:after="40"/>
        <w:jc w:val="center"/>
      </w:pPr>
      <w:r>
        <w:rPr>
          <w:rFonts w:ascii="Arial" w:eastAsia="Arial" w:hAnsi="Arial" w:cs="Arial"/>
          <w:b/>
          <w:bCs/>
          <w:color w:val="333333"/>
        </w:rPr>
        <w:t>Asaf Fulks</w:t>
      </w:r>
    </w:p>
    <w:p w14:paraId="0A1A5821" w14:textId="77777777" w:rsidR="0075379D" w:rsidRDefault="00F31183">
      <w:pPr>
        <w:spacing w:after="40"/>
        <w:jc w:val="center"/>
      </w:pPr>
      <w:r>
        <w:rPr>
          <w:color w:val="555555"/>
          <w:sz w:val="20"/>
          <w:szCs w:val="20"/>
        </w:rPr>
        <w:t>Asaf Fulks Law | asaffulkslaw.com</w:t>
      </w:r>
    </w:p>
    <w:p w14:paraId="2FB3912D" w14:textId="77777777" w:rsidR="0075379D" w:rsidRDefault="00F31183">
      <w:pPr>
        <w:spacing w:after="40"/>
        <w:jc w:val="center"/>
      </w:pPr>
      <w:r>
        <w:rPr>
          <w:color w:val="555555"/>
          <w:sz w:val="20"/>
          <w:szCs w:val="20"/>
        </w:rPr>
        <w:t>California State Bar No. 343622</w:t>
      </w:r>
    </w:p>
    <w:p w14:paraId="16D5451D" w14:textId="77777777" w:rsidR="0075379D" w:rsidRDefault="00F31183">
      <w:pPr>
        <w:spacing w:after="200"/>
        <w:jc w:val="center"/>
      </w:pPr>
      <w:r>
        <w:rPr>
          <w:color w:val="555555"/>
          <w:sz w:val="20"/>
          <w:szCs w:val="20"/>
        </w:rPr>
        <w:t>Published by The Forum Press, a Fulks, Inc. company | April 2026 · Revised May 2026</w:t>
      </w:r>
    </w:p>
    <w:p w14:paraId="0EC9343E" w14:textId="77777777" w:rsidR="0075379D" w:rsidRDefault="00F31183">
      <w:r>
        <w:br w:type="page"/>
      </w:r>
    </w:p>
    <w:p w14:paraId="57E5E5AB" w14:textId="77777777" w:rsidR="0075379D" w:rsidRDefault="00F31183">
      <w:pPr>
        <w:pStyle w:val="Heading1"/>
      </w:pPr>
      <w:r>
        <w:t>REFERENCES</w:t>
      </w:r>
    </w:p>
    <w:p w14:paraId="29A8C556" w14:textId="77777777" w:rsidR="0075379D" w:rsidRDefault="00F31183">
      <w:pPr>
        <w:pStyle w:val="Heading2"/>
      </w:pPr>
      <w:r>
        <w:t>Bitcoin Improvement Proposals</w:t>
      </w:r>
    </w:p>
    <w:p w14:paraId="4AA74384" w14:textId="77777777" w:rsidR="0075379D" w:rsidRDefault="00F31183">
      <w:pPr>
        <w:spacing w:after="160" w:line="288" w:lineRule="auto"/>
        <w:ind w:left="360" w:hanging="360"/>
      </w:pPr>
      <w:r>
        <w:rPr>
          <w:color w:val="333333"/>
          <w:sz w:val="21"/>
          <w:szCs w:val="21"/>
        </w:rPr>
        <w:t>BIP-1: BIP Purpose and Guidelines. Amir Taaki, 2011. github.com/bitcoin/bips/blob/master/bip-0001.mediawiki</w:t>
      </w:r>
    </w:p>
    <w:p w14:paraId="0DD5FF8A" w14:textId="77777777" w:rsidR="0075379D" w:rsidRDefault="00F31183">
      <w:pPr>
        <w:spacing w:after="160" w:line="288" w:lineRule="auto"/>
        <w:ind w:left="360" w:hanging="360"/>
      </w:pPr>
      <w:r>
        <w:rPr>
          <w:color w:val="333333"/>
          <w:sz w:val="21"/>
          <w:szCs w:val="21"/>
        </w:rPr>
        <w:t>BIP-2: BIP Process, Revised. Luke Dashjr, 2016. github.com/bitcoin/bips/blob/master/bip-0002.mediawiki</w:t>
      </w:r>
    </w:p>
    <w:p w14:paraId="0DD5FF8A" w14:textId="77777777" w:rsidR="0075379D" w:rsidRDefault="00F31183">
      <w:pPr>
        <w:spacing w:after="160" w:line="288" w:lineRule="auto"/>
        <w:ind w:left="360" w:hanging="360"/>
      </w:pPr>
      <w:r>
        <w:rPr>
          <w:color w:val="333333"/>
          <w:sz w:val="21"/>
          <w:szCs w:val="21"/>
        </w:rPr>
        <w:t>BIP-8: Version Bits with Lock-in by Height. Shaolin Fry, Luke Dashjr, 2017. github.com/bitcoin/bips/blob/master/bip-0008.mediawiki</w:t>
      </w:r>
    </w:p>
    <w:p w14:paraId="65B909C7" w14:textId="77777777" w:rsidR="0075379D" w:rsidRDefault="00F31183">
      <w:pPr>
        <w:spacing w:after="160" w:line="288" w:lineRule="auto"/>
        <w:ind w:left="360" w:hanging="360"/>
      </w:pPr>
      <w:r>
        <w:rPr>
          <w:color w:val="333333"/>
          <w:sz w:val="21"/>
          <w:szCs w:val="21"/>
        </w:rPr>
        <w:t>BIP-9: Version Bits with Timeout and Delay. Pieter Wuille, Peter Todd, Greg Maxwell, Rusty Russell, 2015. github.com/bitcoin/bips/blob/master/bip-0009.mediawiki</w:t>
      </w:r>
    </w:p>
    <w:p w14:paraId="06B8FD6D" w14:textId="77777777" w:rsidR="0075379D" w:rsidRDefault="00F31183">
      <w:pPr>
        <w:spacing w:after="160" w:line="288" w:lineRule="auto"/>
        <w:ind w:left="360" w:hanging="360"/>
      </w:pPr>
      <w:r>
        <w:rPr>
          <w:color w:val="333333"/>
          <w:sz w:val="21"/>
          <w:szCs w:val="21"/>
        </w:rPr>
        <w:t>BIP-16: Pay to Script Hash. Gavin Andresen, 2012. github.com/bitcoin/bips/blob/master/bip-0016.mediawiki</w:t>
      </w:r>
    </w:p>
    <w:p w14:paraId="01DEE1D1" w14:textId="77777777" w:rsidR="0075379D" w:rsidRDefault="00F31183">
      <w:pPr>
        <w:spacing w:after="160" w:line="288" w:lineRule="auto"/>
        <w:ind w:left="360" w:hanging="360"/>
      </w:pPr>
      <w:r>
        <w:rPr>
          <w:color w:val="333333"/>
          <w:sz w:val="21"/>
          <w:szCs w:val="21"/>
        </w:rPr>
        <w:t>BIP-17: OP_CHECKHASHVERIFY (CHV). Luke Dashjr, 2012. github.com/bitcoin/bips/blob/master/bip-0017.mediawiki</w:t>
      </w:r>
    </w:p>
    <w:p w14:paraId="5E89D0A3" w14:textId="77777777" w:rsidR="0075379D" w:rsidRDefault="00F31183">
      <w:pPr>
        <w:spacing w:after="160" w:line="288" w:lineRule="auto"/>
        <w:ind w:left="360" w:hanging="360"/>
      </w:pPr>
      <w:r>
        <w:rPr>
          <w:color w:val="333333"/>
          <w:sz w:val="21"/>
          <w:szCs w:val="21"/>
        </w:rPr>
        <w:t>BIP-50: March 2013 Chain Fork Post-Mortem. Gavin Andresen, 2013. github.com/bitcoin/bips/blob/master/bip-0050.mediawiki</w:t>
      </w:r>
    </w:p>
    <w:p w14:paraId="6815E285" w14:textId="77777777" w:rsidR="0075379D" w:rsidRDefault="00F31183">
      <w:pPr>
        <w:spacing w:after="160" w:line="288" w:lineRule="auto"/>
        <w:ind w:left="360" w:hanging="360"/>
      </w:pPr>
      <w:r>
        <w:rPr>
          <w:color w:val="333333"/>
          <w:sz w:val="21"/>
          <w:szCs w:val="21"/>
        </w:rPr>
        <w:t>BIP-91: Reduced threshold Segwit MASF. James Hilliard, 2017. github.com/bitcoin/bips/blob/master/bip-0091.mediawiki</w:t>
      </w:r>
    </w:p>
    <w:p w14:paraId="2A9FE8FA" w14:textId="77777777" w:rsidR="0075379D" w:rsidRDefault="00F31183">
      <w:pPr>
        <w:spacing w:after="160" w:line="288" w:lineRule="auto"/>
        <w:ind w:left="360" w:hanging="360"/>
      </w:pPr>
      <w:r>
        <w:rPr>
          <w:color w:val="333333"/>
          <w:sz w:val="21"/>
          <w:szCs w:val="21"/>
        </w:rPr>
        <w:t>BIP-101: Increase Maximum Block Size. Gavin Andresen, 2015. github.com/bitcoin/bips/blob/master/bip-0101.mediawiki</w:t>
      </w:r>
    </w:p>
    <w:p w14:paraId="53B97E6F" w14:textId="77777777" w:rsidR="0075379D" w:rsidRDefault="00F31183">
      <w:pPr>
        <w:spacing w:after="160" w:line="288" w:lineRule="auto"/>
        <w:ind w:left="360" w:hanging="360"/>
      </w:pPr>
      <w:r>
        <w:rPr>
          <w:color w:val="333333"/>
          <w:sz w:val="21"/>
          <w:szCs w:val="21"/>
        </w:rPr>
        <w:t>BIP-102: Block Size Increase to 2MB. Jeff Garzik, 2015. github.com/bitcoin/bips/blob/master/bip-0102.mediawiki</w:t>
      </w:r>
    </w:p>
    <w:p w14:paraId="0E344A55" w14:textId="77777777" w:rsidR="0075379D" w:rsidRDefault="00F31183">
      <w:pPr>
        <w:spacing w:after="160" w:line="288" w:lineRule="auto"/>
        <w:ind w:left="360" w:hanging="360"/>
      </w:pPr>
      <w:r>
        <w:rPr>
          <w:color w:val="333333"/>
          <w:sz w:val="21"/>
          <w:szCs w:val="21"/>
        </w:rPr>
        <w:t>BIP-110: Reduced Data Temporary Softfork (originally proposed as BIP-444). Dathon Ohm, 2025. github.com/bitcoin/bips/blob/master/bip-0110.mediawiki</w:t>
      </w:r>
    </w:p>
    <w:p w14:paraId="071468D6" w14:textId="77777777" w:rsidR="0075379D" w:rsidRDefault="00F31183">
      <w:pPr>
        <w:spacing w:after="160" w:line="288" w:lineRule="auto"/>
        <w:ind w:left="360" w:hanging="360"/>
      </w:pPr>
      <w:r>
        <w:rPr>
          <w:color w:val="333333"/>
          <w:sz w:val="21"/>
          <w:szCs w:val="21"/>
        </w:rPr>
        <w:t>BIP-141: Segregated Witness (Consensus Layer). Eric Lombrozo, Johnson Lau, Pieter Wuille, 2015. github.com/bitcoin/bips/blob/master/bip-0141.mediawiki</w:t>
      </w:r>
    </w:p>
    <w:p w14:paraId="350697EF" w14:textId="77777777" w:rsidR="0075379D" w:rsidRDefault="00F31183">
      <w:pPr>
        <w:spacing w:after="160" w:line="288" w:lineRule="auto"/>
        <w:ind w:left="360" w:hanging="360"/>
      </w:pPr>
      <w:r>
        <w:rPr>
          <w:color w:val="333333"/>
          <w:sz w:val="21"/>
          <w:szCs w:val="21"/>
        </w:rPr>
        <w:t>BIP-148: Mandatory Activation of Segwit Deployment. Shaolin Fry, 2017. github.com/bitcoin/bips/blob/master/bip-0148.mediawiki</w:t>
      </w:r>
    </w:p>
    <w:p w14:paraId="58FF7C85" w14:textId="77777777" w:rsidR="0075379D" w:rsidRDefault="00F31183">
      <w:pPr>
        <w:spacing w:after="160" w:line="288" w:lineRule="auto"/>
        <w:ind w:left="360" w:hanging="360"/>
      </w:pPr>
      <w:r>
        <w:rPr>
          <w:color w:val="333333"/>
          <w:sz w:val="21"/>
          <w:szCs w:val="21"/>
        </w:rPr>
        <w:t>BIP-340: Schnorr Signatures for secp256k1. Pieter Wuille, Jonas Nick, Tim Ruffing, 2020. github.com/bitcoin/bips/blob/master/bip-0340.mediawiki</w:t>
      </w:r>
    </w:p>
    <w:p w14:paraId="5C58EC35" w14:textId="77777777" w:rsidR="0075379D" w:rsidRDefault="00F31183">
      <w:pPr>
        <w:spacing w:after="160" w:line="288" w:lineRule="auto"/>
        <w:ind w:left="360" w:hanging="360"/>
      </w:pPr>
      <w:r>
        <w:rPr>
          <w:color w:val="333333"/>
          <w:sz w:val="21"/>
          <w:szCs w:val="21"/>
        </w:rPr>
        <w:t>BIP-341: Taproot: SegWit Version 1 Spending Rules. Pieter Wuille, Jonas Nick, Anthony Towns, 2020. github.com/bitcoin/bips/blob/master/bip-0341.mediawiki</w:t>
      </w:r>
    </w:p>
    <w:p w14:paraId="5A6A8AB0" w14:textId="77777777" w:rsidR="0075379D" w:rsidRDefault="00F31183">
      <w:pPr>
        <w:spacing w:after="160" w:line="288" w:lineRule="auto"/>
        <w:ind w:left="360" w:hanging="360"/>
      </w:pPr>
      <w:r>
        <w:rPr>
          <w:color w:val="333333"/>
          <w:sz w:val="21"/>
          <w:szCs w:val="21"/>
        </w:rPr>
        <w:t>BIP-342: Validation of Taproot Scripts. Pieter Wuille, Jonas Nick, Anthony Towns, 2020. github.com/bitcoin/bips/blob/master/bip-0342.mediawiki</w:t>
      </w:r>
    </w:p>
    <w:p w14:paraId="44576F2F" w14:textId="77777777" w:rsidR="0075379D" w:rsidRDefault="00F31183">
      <w:pPr>
        <w:pStyle w:val="Heading2"/>
      </w:pPr>
      <w:r>
        <w:t>Legal Authorities</w:t>
      </w:r>
    </w:p>
    <w:p w14:paraId="69513178" w14:textId="77777777" w:rsidR="0075379D" w:rsidRDefault="00F31183">
      <w:pPr>
        <w:spacing w:after="160" w:line="288" w:lineRule="auto"/>
        <w:ind w:left="360" w:hanging="360"/>
      </w:pPr>
      <w:r>
        <w:rPr>
          <w:color w:val="333333"/>
          <w:sz w:val="21"/>
          <w:szCs w:val="21"/>
        </w:rPr>
        <w:t>Aas v. Superior Court, 24 Cal.4th 627 (2000).</w:t>
      </w:r>
    </w:p>
    <w:p w14:paraId="6AE3A8CD" w14:textId="77777777" w:rsidR="0075379D" w:rsidRDefault="00F31183">
      <w:pPr>
        <w:spacing w:after="160" w:line="288" w:lineRule="auto"/>
        <w:ind w:left="360" w:hanging="360"/>
      </w:pPr>
      <w:r>
        <w:rPr>
          <w:color w:val="333333"/>
          <w:sz w:val="21"/>
          <w:szCs w:val="21"/>
        </w:rPr>
        <w:t>Biakanja v. Irving, 49 Cal.2d 647 (1958).</w:t>
      </w:r>
    </w:p>
    <w:p w14:paraId="3ACFA301" w14:textId="77777777" w:rsidR="0075379D" w:rsidRDefault="00F31183">
      <w:pPr>
        <w:spacing w:after="160" w:line="288" w:lineRule="auto"/>
        <w:ind w:left="360" w:hanging="360"/>
      </w:pPr>
      <w:r>
        <w:rPr>
          <w:color w:val="333333"/>
          <w:sz w:val="21"/>
          <w:szCs w:val="21"/>
        </w:rPr>
        <w:t>Della Penna v. Toyota Motor Sales, U.S.A., Inc., 11 Cal.4th 376 (1995).</w:t>
      </w:r>
    </w:p>
    <w:p w14:paraId="4AAD31CF" w14:textId="77777777" w:rsidR="0075379D" w:rsidRDefault="00F31183">
      <w:pPr>
        <w:spacing w:after="160" w:line="288" w:lineRule="auto"/>
        <w:ind w:left="360" w:hanging="360"/>
      </w:pPr>
      <w:r>
        <w:rPr>
          <w:color w:val="333333"/>
          <w:sz w:val="21"/>
          <w:szCs w:val="21"/>
        </w:rPr>
        <w:t>Korea Supply Co. v. Lockheed Martin Corp., 29 Cal.4th 1134 (2003).</w:t>
      </w:r>
    </w:p>
    <w:p w14:paraId="715CA0DF" w14:textId="77777777" w:rsidR="0075379D" w:rsidRDefault="00F31183">
      <w:pPr>
        <w:spacing w:after="160" w:line="288" w:lineRule="auto"/>
        <w:ind w:left="360" w:hanging="360"/>
      </w:pPr>
      <w:r>
        <w:rPr>
          <w:color w:val="333333"/>
          <w:sz w:val="21"/>
          <w:szCs w:val="21"/>
        </w:rPr>
        <w:t>Pacific Gas &amp; Electric Co. v. Bear Stearns &amp; Co., 50 Cal.3d 1118 (1990).</w:t>
      </w:r>
    </w:p>
    <w:p w14:paraId="09948094" w14:textId="77777777" w:rsidR="0075379D" w:rsidRDefault="00F31183">
      <w:pPr>
        <w:spacing w:after="160" w:line="288" w:lineRule="auto"/>
        <w:ind w:left="360" w:hanging="360"/>
      </w:pPr>
      <w:r>
        <w:rPr>
          <w:color w:val="333333"/>
          <w:sz w:val="21"/>
          <w:szCs w:val="21"/>
        </w:rPr>
        <w:t>Robinson Helicopter Co. v. Dana Corp., 34 Cal.4th 979 (2004).</w:t>
      </w:r>
    </w:p>
    <w:p w14:paraId="21156118" w14:textId="77777777" w:rsidR="0075379D" w:rsidRDefault="00F31183">
      <w:pPr>
        <w:spacing w:after="160" w:line="288" w:lineRule="auto"/>
        <w:ind w:left="360" w:hanging="360"/>
      </w:pPr>
      <w:r>
        <w:rPr>
          <w:color w:val="333333"/>
          <w:sz w:val="21"/>
          <w:szCs w:val="21"/>
        </w:rPr>
        <w:t>Tulip Trading Ltd v van der Laan [2023] EWCA Civ 83, Court of Appeal of England and Wales (3 February 2023). judiciary.uk/wp-content/uploads/2023/02/Tulip-v-Van-Der-Laan-judgment-030223.pdf</w:t>
      </w:r>
    </w:p>
    <w:p w14:paraId="4C3A9974" w14:textId="77777777" w:rsidR="0075379D" w:rsidRDefault="00F31183">
      <w:pPr>
        <w:spacing w:after="160" w:line="288" w:lineRule="auto"/>
        <w:ind w:left="360" w:hanging="360"/>
      </w:pPr>
      <w:r>
        <w:rPr>
          <w:color w:val="333333"/>
          <w:sz w:val="21"/>
          <w:szCs w:val="21"/>
        </w:rPr>
        <w:t>Rev. Rul. 2019-24, 2019-44 I.R.B. 1004 (Oct. 9, 2019) (tax treatment of cryptocurrency hard forks). irs.gov/pub/irs-drop/rr-19-24.pdf</w:t>
      </w:r>
    </w:p>
    <w:p w14:paraId="7F1DD8C5" w14:textId="77777777" w:rsidR="0075379D" w:rsidRDefault="00F31183">
      <w:pPr>
        <w:spacing w:after="160" w:line="288" w:lineRule="auto"/>
        <w:ind w:left="360" w:hanging="360"/>
      </w:pPr>
      <w:r>
        <w:rPr>
          <w:color w:val="333333"/>
          <w:sz w:val="21"/>
          <w:szCs w:val="21"/>
        </w:rPr>
        <w:t>Restatement (Second) of Torts § 552 (Am. Law Inst. 1977).</w:t>
      </w:r>
    </w:p>
    <w:p w14:paraId="3711F168" w14:textId="77777777" w:rsidR="0075379D" w:rsidRDefault="00F31183">
      <w:pPr>
        <w:spacing w:after="160" w:line="288" w:lineRule="auto"/>
        <w:ind w:left="360" w:hanging="360"/>
      </w:pPr>
      <w:r>
        <w:rPr>
          <w:color w:val="333333"/>
          <w:sz w:val="21"/>
          <w:szCs w:val="21"/>
        </w:rPr>
        <w:t>Walch, Angela. “In Code(rs) We Trust: Software Developers as Fiduciaries in Public Blockchains.” In Regulating Blockchain: Techno-Social and Legal Challenges, edited by Philipp Hacker, Ioannis Lianos, Georgios Dimitropoulos &amp; Stefan Eich, 58–81. Oxford: Oxford University Press, 2019.</w:t>
      </w:r>
    </w:p>
    <w:p w14:paraId="4666F5BA" w14:textId="77777777" w:rsidR="0075379D" w:rsidRDefault="00F31183">
      <w:pPr>
        <w:pStyle w:val="Heading2"/>
      </w:pPr>
      <w:r>
        <w:t>Software Releases</w:t>
      </w:r>
    </w:p>
    <w:p w14:paraId="76EDBD54" w14:textId="77777777" w:rsidR="0075379D" w:rsidRDefault="00F31183">
      <w:pPr>
        <w:spacing w:after="160" w:line="288" w:lineRule="auto"/>
        <w:ind w:left="360" w:hanging="360"/>
      </w:pPr>
      <w:r>
        <w:rPr>
          <w:color w:val="333333"/>
          <w:sz w:val="21"/>
          <w:szCs w:val="21"/>
        </w:rPr>
        <w:t>Bitcoin Core v30.2 Release Notes. Bitcoin Core Project, 10 January 2026. bitcoincore.org/en/releases/30.2/</w:t>
      </w:r>
    </w:p>
    <w:p w14:paraId="19853AC6" w14:textId="77777777" w:rsidR="0075379D" w:rsidRDefault="00F31183">
      <w:pPr>
        <w:spacing w:after="160" w:line="288" w:lineRule="auto"/>
        <w:ind w:left="360" w:hanging="360"/>
      </w:pPr>
      <w:r>
        <w:rPr>
          <w:color w:val="333333"/>
          <w:sz w:val="21"/>
          <w:szCs w:val="21"/>
        </w:rPr>
        <w:t>Bitcoin Knots v29.3.knots20260210. Bitcoin Knots Project, 2026. github.com/bitcoinknots/bitcoin/releases</w:t>
      </w:r>
    </w:p>
    <w:p w14:paraId="272C9021" w14:textId="77777777" w:rsidR="0075379D" w:rsidRDefault="00F31183">
      <w:pPr>
        <w:pStyle w:val="Heading2"/>
      </w:pPr>
      <w:r>
        <w:t>License</w:t>
      </w:r>
    </w:p>
    <w:p w14:paraId="73A1FF6D" w14:textId="77777777" w:rsidR="0075379D" w:rsidRDefault="00F31183">
      <w:pPr>
        <w:spacing w:after="160" w:line="288" w:lineRule="auto"/>
        <w:ind w:left="360" w:hanging="360"/>
      </w:pPr>
      <w:r>
        <w:rPr>
          <w:color w:val="333333"/>
          <w:sz w:val="21"/>
          <w:szCs w:val="21"/>
        </w:rPr>
        <w:t>Creative Commons Attribution 4.0 International (CC BY 4.0). creativecommons.org/licenses/by/4.0/</w:t>
      </w:r>
    </w:p>
    <w:p w14:paraId="28D0F6B4" w14:textId="77777777" w:rsidR="0075379D" w:rsidRDefault="00F31183">
      <w:r>
        <w:br w:type="page"/>
      </w:r>
    </w:p>
    <w:p w14:paraId="739525D6" w14:textId="77777777" w:rsidR="0075379D" w:rsidRDefault="00F31183">
      <w:pPr>
        <w:pStyle w:val="Heading1"/>
      </w:pPr>
      <w:r>
        <w:t>DISCLAIMER</w:t>
      </w:r>
    </w:p>
    <w:p w14:paraId="3BD989C3" w14:textId="77777777" w:rsidR="0075379D" w:rsidRDefault="00F31183">
      <w:pPr>
        <w:spacing w:after="200" w:line="312" w:lineRule="auto"/>
        <w:jc w:val="both"/>
      </w:pPr>
      <w:r>
        <w:rPr>
          <w:color w:val="333333"/>
        </w:rPr>
        <w:t>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14:paraId="2386E3F8" w14:textId="77777777" w:rsidR="0075379D" w:rsidRDefault="00F31183">
      <w:pPr>
        <w:spacing w:after="200" w:line="312" w:lineRule="auto"/>
        <w:jc w:val="both"/>
      </w:pPr>
      <w:r>
        <w:rPr>
          <w:color w:val="333333"/>
        </w:rPr>
        <w:t>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Fulks, Inc. company.</w:t>
      </w:r>
    </w:p>
    <w:p w14:paraId="08E46AAD" w14:textId="77777777" w:rsidR="0075379D" w:rsidRDefault="00F31183">
      <w:pPr>
        <w:spacing w:after="200" w:line="312" w:lineRule="auto"/>
        <w:jc w:val="both"/>
      </w:pPr>
      <w:r>
        <w:rPr>
          <w:color w:val="333333"/>
        </w:rPr>
        <w:t>This document is licensed under the Creative Commons Attribution 4.0 International License (CC BY 4.0). You may reproduce, modify, distribute, and build upon this work for any purpose, including commercial use, provided that appropriate credit is given to the author.</w:t>
      </w:r>
    </w:p>
    <w:p w14:paraId="3DDD308F" w14:textId="77777777" w:rsidR="0075379D" w:rsidRDefault="00F31183">
      <w:pPr>
        <w:spacing w:after="200" w:line="312" w:lineRule="auto"/>
        <w:jc w:val="both"/>
      </w:pPr>
      <w:r>
        <w:rPr>
          <w:color w:val="333333"/>
        </w:rPr>
        <w:t>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rsidR="0075379D">
      <w:pgSz w:w="12240" w:h="15840"/>
      <w:pgMar w:top="1440" w:right="1440" w:bottom="1440" w:left="1440" w:header="708" w:footer="708"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304C4"/>
    <w:multiLevelType w:val="hybridMultilevel"/>
    <w:tmpl w:val="A948C3E4"/>
    <w:lvl w:ilvl="0" w:tplc="9DD227BC">
      <w:start w:val="1"/>
      <w:numFmt w:val="bullet"/>
      <w:lvlText w:val="●"/>
      <w:lvlJc w:val="left"/>
      <w:pPr>
        <w:ind w:left="720" w:hanging="360"/>
      </w:pPr>
    </w:lvl>
    <w:lvl w:ilvl="1" w:tplc="D2CC67AC">
      <w:start w:val="1"/>
      <w:numFmt w:val="bullet"/>
      <w:lvlText w:val="○"/>
      <w:lvlJc w:val="left"/>
      <w:pPr>
        <w:ind w:left="1440" w:hanging="360"/>
      </w:pPr>
    </w:lvl>
    <w:lvl w:ilvl="2" w:tplc="9B48BB96">
      <w:start w:val="1"/>
      <w:numFmt w:val="bullet"/>
      <w:lvlText w:val="■"/>
      <w:lvlJc w:val="left"/>
      <w:pPr>
        <w:ind w:left="2160" w:hanging="360"/>
      </w:pPr>
    </w:lvl>
    <w:lvl w:ilvl="3" w:tplc="ED72DE22">
      <w:start w:val="1"/>
      <w:numFmt w:val="bullet"/>
      <w:lvlText w:val="●"/>
      <w:lvlJc w:val="left"/>
      <w:pPr>
        <w:ind w:left="2880" w:hanging="360"/>
      </w:pPr>
    </w:lvl>
    <w:lvl w:ilvl="4" w:tplc="811EDF18">
      <w:start w:val="1"/>
      <w:numFmt w:val="bullet"/>
      <w:lvlText w:val="○"/>
      <w:lvlJc w:val="left"/>
      <w:pPr>
        <w:ind w:left="3600" w:hanging="360"/>
      </w:pPr>
    </w:lvl>
    <w:lvl w:ilvl="5" w:tplc="38185BC8">
      <w:start w:val="1"/>
      <w:numFmt w:val="bullet"/>
      <w:lvlText w:val="■"/>
      <w:lvlJc w:val="left"/>
      <w:pPr>
        <w:ind w:left="4320" w:hanging="360"/>
      </w:pPr>
    </w:lvl>
    <w:lvl w:ilvl="6" w:tplc="675CC31A">
      <w:start w:val="1"/>
      <w:numFmt w:val="bullet"/>
      <w:lvlText w:val="●"/>
      <w:lvlJc w:val="left"/>
      <w:pPr>
        <w:ind w:left="5040" w:hanging="360"/>
      </w:pPr>
    </w:lvl>
    <w:lvl w:ilvl="7" w:tplc="57D282E8">
      <w:start w:val="1"/>
      <w:numFmt w:val="bullet"/>
      <w:lvlText w:val="●"/>
      <w:lvlJc w:val="left"/>
      <w:pPr>
        <w:ind w:left="5760" w:hanging="360"/>
      </w:pPr>
    </w:lvl>
    <w:lvl w:ilvl="8" w:tplc="63B0EE8C">
      <w:start w:val="1"/>
      <w:numFmt w:val="bullet"/>
      <w:lvlText w:val="●"/>
      <w:lvlJc w:val="left"/>
      <w:pPr>
        <w:ind w:left="6480" w:hanging="360"/>
      </w:pPr>
    </w:lvl>
  </w:abstractNum>
  <w:num w:numId="1" w16cid:durableId="18171432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9D"/>
    <w:rsid w:val="00012D54"/>
    <w:rsid w:val="000434B1"/>
    <w:rsid w:val="000949C8"/>
    <w:rsid w:val="00137F2C"/>
    <w:rsid w:val="001A0DC1"/>
    <w:rsid w:val="002E16DE"/>
    <w:rsid w:val="003F0AE2"/>
    <w:rsid w:val="00437635"/>
    <w:rsid w:val="005B096B"/>
    <w:rsid w:val="006A68E3"/>
    <w:rsid w:val="0075379D"/>
    <w:rsid w:val="007E6612"/>
    <w:rsid w:val="00927878"/>
    <w:rsid w:val="009A45FC"/>
    <w:rsid w:val="009D4573"/>
    <w:rsid w:val="00B05245"/>
    <w:rsid w:val="00BA7BE7"/>
    <w:rsid w:val="00BB1F44"/>
    <w:rsid w:val="00BC4472"/>
    <w:rsid w:val="00BD42FD"/>
    <w:rsid w:val="00CA77A4"/>
    <w:rsid w:val="00D5416B"/>
    <w:rsid w:val="00DC0B52"/>
    <w:rsid w:val="00DD21D2"/>
    <w:rsid w:val="00E661B1"/>
    <w:rsid w:val="00E83BF4"/>
    <w:rsid w:val="00EA522B"/>
    <w:rsid w:val="00EB1A79"/>
    <w:rsid w:val="00F21626"/>
    <w:rsid w:val="00F31183"/>
    <w:rsid w:val="00F5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4D74F92"/>
  <w15:docId w15:val="{15E54E5E-975E-4241-88AF-CA8B161C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2A4A"/>
      <w:sz w:val="32"/>
      <w:szCs w:val="32"/>
    </w:rPr>
  </w:style>
  <w:style w:type="paragraph" w:styleId="Heading2">
    <w:name w:val="heading 2"/>
    <w:uiPriority w:val="9"/>
    <w:unhideWhenUsed/>
    <w:qFormat/>
    <w:pPr>
      <w:spacing w:before="360" w:after="180"/>
      <w:outlineLvl w:val="1"/>
    </w:pPr>
    <w:rPr>
      <w:rFonts w:ascii="Arial" w:eastAsia="Arial" w:hAnsi="Arial" w:cs="Arial"/>
      <w:b/>
      <w:bCs/>
      <w:color w:val="1B2A4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8802</Words>
  <Characters>50173</Characters>
  <Application>Microsoft Office Word</Application>
  <DocSecurity>0</DocSecurity>
  <Lines>418</Lines>
  <Paragraphs>117</Paragraphs>
  <ScaleCrop>false</ScaleCrop>
  <Company/>
  <LinksUpToDate>false</LinksUpToDate>
  <CharactersWithSpaces>58858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Asaf Fulks</cp:lastModifiedBy>
  <cp:revision>1</cp:revision>
  <dcterms:created xsi:type="dcterms:W3CDTF">2026-04-05T05:46:00Z</dcterms:created>
  <dcterms:modified xsi:type="dcterms:W3CDTF">2026-05-13T06:57:00Z</dcterms:modified>
</cp:coreProperties>
</file>