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40" w:lineRule="auto"/>
        <w:jc w:val="center"/>
      </w:pPr>
      <w:r>
        <w:drawing>
          <wp:inline xmlns:a="http://schemas.openxmlformats.org/drawingml/2006/main" xmlns:pic="http://schemas.openxmlformats.org/drawingml/2006/picture">
            <wp:extent cx="7772400" cy="10058400"/>
            <wp:docPr id="3" name="Picture 3"/>
            <wp:cNvGraphicFramePr>
              <a:graphicFrameLocks noChangeAspect="1"/>
            </wp:cNvGraphicFramePr>
            <a:graphic>
              <a:graphicData uri="http://schemas.openxmlformats.org/drawingml/2006/picture">
                <pic:pic>
                  <pic:nvPicPr>
                    <pic:cNvPr id="0" name="Cover_ForWeb.png"/>
                    <pic:cNvPicPr/>
                  </pic:nvPicPr>
                  <pic:blipFill>
                    <a:blip r:embed="rId8"/>
                    <a:stretch>
                      <a:fillRect/>
                    </a:stretch>
                  </pic:blipFill>
                  <pic:spPr>
                    <a:xfrm>
                      <a:off x="0" y="0"/>
                      <a:ext cx="7772400" cy="10058400"/>
                    </a:xfrm>
                    <a:prstGeom prst="rect"/>
                  </pic:spPr>
                </pic:pic>
              </a:graphicData>
            </a:graphic>
          </wp:inline>
        </w:drawing>
      </w:r>
    </w:p>
    <w:p>
      <w:pPr>
        <w:spacing w:after="0" w:before="0" w:line="240" w:lineRule="auto"/>
        <w:sectPr>
          <w:headerReference w:type="default" r:id="rId9"/>
          <w:footerReference w:type="default" r:id="rId10"/>
          <w:pgSz w:w="12240" w:h="15840"/>
          <w:pgMar w:top="0" w:right="0" w:bottom="0" w:left="0" w:header="0" w:footer="0" w:gutter="0"/>
          <w:cols w:space="720"/>
          <w:docGrid w:linePitch="360"/>
        </w:sectPr>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First Edition — April 2026 (Revised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headerReference w:type="default" r:id="rId11"/>
          <w:footerReference w:type="default" r:id="rId12"/>
          <w:pgSz w:w="12240" w:h="15840"/>
          <w:pgMar w:top="1440" w:right="1440" w:bottom="1440" w:left="1440" w:header="708" w:footer="708" w:gutter="0"/>
          <w:cols w:space="720"/>
          <w:docGrid w:linePitch="360"/>
        </w:sectPr>
      </w:pP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Knots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A defined procedure for deactivating the change if it produces unintended consequences. For proposals described as “temporary,” this must include a self-executing sunset mechanism that does not require further community coordination to trigger.</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Independent review.</w:t>
      </w:r>
      <w:r>
        <w:rPr>
          <w:color w:val="333333"/>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No AI-generated code without disclosure and review.</w:t>
      </w:r>
      <w:r>
        <w:rPr>
          <w:color w:val="333333"/>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Its credible threat is widely credited with motivating the miner capitulation that produced BIP-91.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five to seven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a chain split occurs, does the proposal include replay protection to prevent transactions from being valid on both chains? If not, what is the expected impact on users who are unaware of the split?</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See Aas v. Superior Court, 24 Cal.4th 627 (2000); Robinson Helicopter Co. v. Dana Corp., 34 Cal.4th 979 (2004). The rule is a genuine impediment to a negligence theory against open-source developers whose users hold no contract with them and whose harm is financial rather than physical. Two routes around the rule remain viable. The multi-factor test of Biakanja v. Irving,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See Pacific Gas &amp; Electric Co. v. Bear Stearns &amp; Co., 50 Cal.3d 1118 (1990). Tortious interference with prospective economic advantage requires, in addition, an independently wrongful act — conduct unlawful for reasons other than the interference itself. See Della Penna v. Toyota Motor Sales, U.S.A., Inc., 11 Cal.4th 376 (1995); Korea Supply Co. v. Lockheed Martin Corp.,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Regulating Blockchain: Techno-Social and Legal Challenges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Tulip Trading Ltd v van der Laan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independent developers with demonstrated Bitcoin protocol expertise?</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If AI coding tools were used, has this been disclosed and has the code received heightened review?</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3/20 under this framework: credit for having a technical specification, a defined activation mechanism, and a self-executing sunset clause (though one whose deactivation was not demonstrably tested on testnet);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April 2026 · Revised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0DD5FF8A" w14:textId="77777777" w:rsidR="0075379D" w:rsidRDefault="00F31183">
      <w:pPr>
        <w:spacing w:after="160" w:line="288" w:lineRule="auto"/>
        <w:ind w:left="360" w:hanging="360"/>
      </w:pPr>
      <w:r>
        <w:rPr>
          <w:color w:val="333333"/>
          <w:sz w:val="21"/>
          <w:szCs w:val="21"/>
        </w:rPr>
        <w:t>BIP-8: Version Bits with Lock-in by Height. Shaolin Fry, Luke Dashjr, 2017. github.com/bitcoin/bips/blob/master/bip-0008.mediawiki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(originally proposed as BIP-444).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Aas v. Superior Court, 24 Cal.4th 627 (2000).</w:t>
      </w:r>
    </w:p>
    <w:p w14:paraId="6AE3A8CD" w14:textId="77777777" w:rsidR="0075379D" w:rsidRDefault="00F31183">
      <w:pPr>
        <w:spacing w:after="160" w:line="288" w:lineRule="auto"/>
        <w:ind w:left="360" w:hanging="360"/>
      </w:pPr>
      <w:r>
        <w:rPr>
          <w:color w:val="333333"/>
          <w:sz w:val="21"/>
          <w:szCs w:val="21"/>
        </w:rPr>
        <w:t>Biakanja v. Irving, 49 Cal.2d 647 (1958).</w:t>
      </w:r>
    </w:p>
    <w:p w14:paraId="3ACFA301" w14:textId="77777777" w:rsidR="0075379D" w:rsidRDefault="00F31183">
      <w:pPr>
        <w:spacing w:after="160" w:line="288" w:lineRule="auto"/>
        <w:ind w:left="360" w:hanging="360"/>
      </w:pPr>
      <w:r>
        <w:rPr>
          <w:color w:val="333333"/>
          <w:sz w:val="21"/>
          <w:szCs w:val="21"/>
        </w:rPr>
        <w:t>Della Penna v. Toyota Motor Sales, U.S.A., Inc., 11 Cal.4th 376 (1995).</w:t>
      </w:r>
    </w:p>
    <w:p w14:paraId="4AAD31CF" w14:textId="77777777" w:rsidR="0075379D" w:rsidRDefault="00F31183">
      <w:pPr>
        <w:spacing w:after="160" w:line="288" w:lineRule="auto"/>
        <w:ind w:left="360" w:hanging="360"/>
      </w:pPr>
      <w:r>
        <w:rPr>
          <w:color w:val="333333"/>
          <w:sz w:val="21"/>
          <w:szCs w:val="21"/>
        </w:rPr>
        <w:t>Korea Supply Co. v. Lockheed Martin Corp., 29 Cal.4th 1134 (2003).</w:t>
      </w:r>
    </w:p>
    <w:p w14:paraId="715CA0DF" w14:textId="77777777" w:rsidR="0075379D" w:rsidRDefault="00F31183">
      <w:pPr>
        <w:spacing w:after="160" w:line="288" w:lineRule="auto"/>
        <w:ind w:left="360" w:hanging="360"/>
      </w:pPr>
      <w:r>
        <w:rPr>
          <w:color w:val="333333"/>
          <w:sz w:val="21"/>
          <w:szCs w:val="21"/>
        </w:rPr>
        <w:t>Pacific Gas &amp; Electric Co. v. Bear Stearns &amp; Co., 50 Cal.3d 1118 (1990).</w:t>
      </w:r>
    </w:p>
    <w:p w14:paraId="09948094" w14:textId="77777777" w:rsidR="0075379D" w:rsidRDefault="00F31183">
      <w:pPr>
        <w:spacing w:after="160" w:line="288" w:lineRule="auto"/>
        <w:ind w:left="360" w:hanging="360"/>
      </w:pPr>
      <w:r>
        <w:rPr>
          <w:color w:val="333333"/>
          <w:sz w:val="21"/>
          <w:szCs w:val="21"/>
        </w:rPr>
        <w:t>Robinson Helicopter Co. v. Dana Corp., 34 Cal.4th 979 (2004).</w:t>
      </w:r>
    </w:p>
    <w:p w14:paraId="21156118" w14:textId="77777777" w:rsidR="0075379D" w:rsidRDefault="00F31183">
      <w:pPr>
        <w:spacing w:after="160" w:line="288" w:lineRule="auto"/>
        <w:ind w:left="360" w:hanging="360"/>
      </w:pPr>
      <w:r>
        <w:rPr>
          <w:color w:val="333333"/>
          <w:sz w:val="21"/>
          <w:szCs w:val="21"/>
        </w:rPr>
        <w:t>Tulip Trading Ltd v van der Laan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Regulating Blockchain: Techno-Social and Legal Challenges, edited by Philipp Hacker, Ioannis Lianos, Georgios Dimitropoulos &amp; Stefan Eich, 58–81. Oxford: Oxford University Press, 2019.</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Fulks, Inc. company.</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pacing w:before="0"/>
      <w:rPr>
        <w:rFonts w:ascii="Calibri" w:hAnsi="Calibri"/>
        <w:sz w:val="18"/>
        <w:color w:val="6E7681"/>
      </w:rPr>
    </w:pPr>
    <w:r>
      <w:rPr>
        <w:rFonts w:ascii="Calibri" w:hAnsi="Calibri"/>
        <w:sz w:val="18"/>
        <w:color w:val="6E7681"/>
      </w:rPr>
      <w:fldChar w:fldCharType="begin"/>
    </w:r>
    <w:r>
      <w:rPr>
        <w:rFonts w:ascii="Calibri" w:hAnsi="Calibri"/>
        <w:sz w:val="18"/>
        <w:color w:val="6E7681"/>
      </w:rPr>
      <w:instrText xml:space="preserve"> PAGE </w:instrText>
    </w:r>
    <w:r>
      <w:rPr>
        <w:rFonts w:ascii="Calibri" w:hAnsi="Calibri"/>
        <w:sz w:val="18"/>
        <w:color w:val="6E7681"/>
      </w:rPr>
      <w:fldChar w:fldCharType="separate"/>
    </w:r>
    <w:r>
      <w:rPr>
        <w:rFonts w:ascii="Calibri" w:hAnsi="Calibri"/>
        <w:sz w:val="18"/>
        <w:color w:val="6E7681"/>
      </w:rPr>
      <w:t>3</w:t>
    </w:r>
    <w:r>
      <w:rPr>
        <w:rFonts w:ascii="Calibri" w:hAnsi="Calibri"/>
        <w:sz w:val="18"/>
        <w:color w:val="6E768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4" w:space="6" w:color="C9D1D9"/>
      </w:pBdr>
      <w:spacing w:after="0"/>
      <w:rPr>
        <w:rFonts w:ascii="Calibri" w:hAnsi="Calibri"/>
        <w:sz w:val="18"/>
        <w:color w:val="6E7681"/>
      </w:rPr>
    </w:pPr>
    <w:r>
      <w:rPr>
        <w:rFonts w:ascii="Calibri" w:hAnsi="Calibri"/>
        <w:smallCaps/>
        <w:sz w:val="18"/>
        <w:color w:val="6E7681"/>
        <w:spacing w:val="40"/>
      </w:rPr>
      <w:t>Consensus Change Standards</w:t>
    </w:r>
    <w:r>
      <w:rPr>
        <w:rFonts w:ascii="Calibri" w:hAnsi="Calibri"/>
        <w:sz w:val="18"/>
        <w:color w:val="6E7681"/>
      </w:rPr>
      <w:tab/>
    </w:r>
    <w:r>
      <w:rPr>
        <w:rFonts w:ascii="Calibri" w:hAnsi="Calibri"/>
        <w:smallCaps/>
        <w:sz w:val="18"/>
        <w:color w:val="6E7681"/>
        <w:spacing w:val="40"/>
      </w:rPr>
      <w:fldChar w:fldCharType="begin"/>
    </w:r>
    <w:r>
      <w:rPr>
        <w:rFonts w:ascii="Calibri" w:hAnsi="Calibri"/>
        <w:smallCaps/>
        <w:sz w:val="18"/>
        <w:color w:val="6E7681"/>
        <w:spacing w:val="40"/>
      </w:rPr>
      <w:instrText xml:space="preserve"> STYLEREF "Heading 1" \* MERGEFORMAT </w:instrText>
    </w:r>
    <w:r>
      <w:rPr>
        <w:rFonts w:ascii="Calibri" w:hAnsi="Calibri"/>
        <w:smallCaps/>
        <w:sz w:val="18"/>
        <w:color w:val="6E7681"/>
        <w:spacing w:val="40"/>
      </w:rPr>
      <w:fldChar w:fldCharType="separate"/>
    </w:r>
    <w:r>
      <w:rPr>
        <w:rFonts w:ascii="Calibri" w:hAnsi="Calibri"/>
        <w:smallCaps/>
        <w:sz w:val="18"/>
        <w:color w:val="6E7681"/>
        <w:spacing w:val="40"/>
      </w:rPr>
      <w:t>Section</w:t>
    </w:r>
    <w:r>
      <w:rPr>
        <w:rFonts w:ascii="Calibri" w:hAnsi="Calibri"/>
        <w:smallCaps/>
        <w:sz w:val="18"/>
        <w:color w:val="6E7681"/>
        <w:spacing w:val="4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