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CC0DC">
      <w:pPr>
        <w:spacing w:before="3200"/>
      </w:pPr>
    </w:p>
    <w:p w14:paraId="18A9DDD3">
      <w:pPr>
        <w:spacing w:after="200"/>
        <w:jc w:val="center"/>
      </w:pPr>
      <w:r>
        <w:rPr>
          <w:rFonts w:ascii="Times New Roman" w:eastAsia="宋体"/>
          <w:color w:val="000000"/>
          <w:sz w:val="52"/>
          <w:szCs w:val="52"/>
        </w:rPr>
        <w:t>武汉大学计算机学院</w:t>
      </w:r>
      <w:r>
        <w:commentReference w:id="0"/>
      </w:r>
    </w:p>
    <w:p w14:paraId="7186CDB9">
      <w:pPr>
        <w:spacing w:after="6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本科生课程设计报告</w:t>
      </w:r>
    </w:p>
    <w:p w14:paraId="3DF2E23C">
      <w:pPr>
        <w:spacing w:before="400"/>
      </w:pPr>
    </w:p>
    <w:p w14:paraId="426DB937">
      <w:pPr>
        <w:spacing w:after="200" w:line="640" w:lineRule="auto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星轨（StarTrack）——高校科研与竞赛信息聚合协作平台</w:t>
      </w:r>
    </w:p>
    <w:p w14:paraId="765F78D7">
      <w:pPr>
        <w:spacing w:after="600" w:line="640" w:lineRule="auto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需求规格说明</w:t>
      </w:r>
    </w:p>
    <w:p w14:paraId="4FE8586D">
      <w:pPr>
        <w:spacing w:before="800"/>
      </w:pPr>
    </w:p>
    <w:tbl>
      <w:tblPr>
        <w:tblStyle w:val="15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800"/>
      </w:tblGrid>
      <w:tr w14:paraId="59FC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065FE3A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专业名称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4FCC06B8">
            <w:pPr>
              <w:spacing w:line="360" w:lineRule="auto"/>
              <w:jc w:val="center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计算机科学与技术</w:t>
            </w:r>
          </w:p>
        </w:tc>
      </w:tr>
      <w:tr w14:paraId="4BA3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9246557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课程名称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44D7D6FE">
            <w:pPr>
              <w:spacing w:line="360" w:lineRule="auto"/>
              <w:jc w:val="center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软件工程</w:t>
            </w:r>
          </w:p>
        </w:tc>
      </w:tr>
      <w:tr w14:paraId="05B8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24D41C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团队名称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045AF232">
            <w:pPr>
              <w:spacing w:line="360" w:lineRule="auto"/>
              <w:jc w:val="center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星轨开发组</w:t>
            </w:r>
          </w:p>
        </w:tc>
      </w:tr>
      <w:tr w14:paraId="0842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109D4BD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指导教师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279F40F6">
            <w:pPr>
              <w:spacing w:line="360" w:lineRule="auto"/>
              <w:jc w:val="center"/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伍</w:t>
            </w:r>
            <w:r>
              <w:rPr>
                <w:rFonts w:ascii="Times New Roman" w:eastAsia="宋体"/>
                <w:color w:val="000000"/>
                <w:sz w:val="30"/>
                <w:szCs w:val="30"/>
              </w:rPr>
              <w:t>老师</w:t>
            </w:r>
          </w:p>
        </w:tc>
      </w:tr>
      <w:tr w14:paraId="100A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479EE82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团队成员一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5935F1FE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崔啸</w:t>
            </w:r>
          </w:p>
        </w:tc>
      </w:tr>
      <w:tr w14:paraId="675D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D76BCAD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团队成员二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5D0C005A">
            <w:pPr>
              <w:spacing w:line="36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胡文锦</w:t>
            </w:r>
          </w:p>
        </w:tc>
      </w:tr>
      <w:tr w14:paraId="2DE9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35EB1C5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团队成员三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6BCD273F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余乐洲</w:t>
            </w:r>
          </w:p>
        </w:tc>
      </w:tr>
      <w:tr w14:paraId="414F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7464940">
            <w:pPr>
              <w:spacing w:line="360" w:lineRule="auto"/>
              <w:jc w:val="right"/>
            </w:pPr>
            <w:r>
              <w:rPr>
                <w:rFonts w:ascii="Times New Roman" w:eastAsia="宋体"/>
                <w:color w:val="000000"/>
                <w:sz w:val="30"/>
                <w:szCs w:val="30"/>
              </w:rPr>
              <w:t>团队成员四</w:t>
            </w:r>
          </w:p>
        </w:tc>
        <w:tc>
          <w:tcPr>
            <w:tcW w:w="4800" w:type="dxa"/>
            <w:tcBorders>
              <w:top w:val="nil"/>
              <w:left w:val="nil"/>
              <w:bottom w:val="single" w:color="000000" w:sz="0" w:space="0"/>
              <w:right w:val="nil"/>
            </w:tcBorders>
            <w:tcMar>
              <w:top w:w="20" w:type="dxa"/>
              <w:left w:w="80" w:type="dxa"/>
              <w:bottom w:w="20" w:type="dxa"/>
              <w:right w:w="40" w:type="dxa"/>
            </w:tcMar>
          </w:tcPr>
          <w:p w14:paraId="1BC0B49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林子昊</w:t>
            </w:r>
          </w:p>
        </w:tc>
      </w:tr>
    </w:tbl>
    <w:p w14:paraId="20C6CEED">
      <w:pPr>
        <w:spacing w:before="600"/>
      </w:pPr>
    </w:p>
    <w:p w14:paraId="670DBC30">
      <w:pPr>
        <w:spacing w:line="460" w:lineRule="auto"/>
        <w:jc w:val="center"/>
      </w:pPr>
      <w:r>
        <w:rPr>
          <w:rFonts w:ascii="Times New Roman" w:eastAsia="宋体"/>
          <w:color w:val="000000"/>
          <w:sz w:val="30"/>
          <w:szCs w:val="30"/>
        </w:rPr>
        <w:t>二○二</w:t>
      </w:r>
      <w:r>
        <w:rPr>
          <w:rFonts w:hint="eastAsia"/>
          <w:color w:val="000000"/>
          <w:sz w:val="30"/>
          <w:szCs w:val="30"/>
          <w:lang w:val="en-US" w:eastAsia="zh-CN"/>
        </w:rPr>
        <w:t>六</w:t>
      </w:r>
      <w:r>
        <w:rPr>
          <w:rFonts w:ascii="Times New Roman" w:eastAsia="宋体"/>
          <w:color w:val="000000"/>
          <w:sz w:val="30"/>
          <w:szCs w:val="30"/>
        </w:rPr>
        <w:t>年</w:t>
      </w:r>
      <w:r>
        <w:rPr>
          <w:rFonts w:hint="eastAsia"/>
          <w:color w:val="000000"/>
          <w:sz w:val="30"/>
          <w:szCs w:val="30"/>
          <w:lang w:val="en-US" w:eastAsia="zh-CN"/>
        </w:rPr>
        <w:t>五</w:t>
      </w:r>
      <w:r>
        <w:rPr>
          <w:rFonts w:ascii="Times New Roman" w:eastAsia="宋体"/>
          <w:color w:val="000000"/>
          <w:sz w:val="30"/>
          <w:szCs w:val="30"/>
        </w:rPr>
        <w:t>月</w:t>
      </w:r>
    </w:p>
    <w:p w14:paraId="1E1002B5">
      <w:pPr>
        <w:sectPr>
          <w:pgSz w:w="11906" w:h="16838"/>
          <w:pgMar w:top="1417" w:right="1701" w:bottom="1134" w:left="1701" w:header="708" w:footer="708" w:gutter="0"/>
          <w:cols w:space="720" w:num="1"/>
          <w:docGrid w:linePitch="360" w:charSpace="0"/>
        </w:sectPr>
      </w:pPr>
    </w:p>
    <w:p w14:paraId="46EB6C01">
      <w:pPr>
        <w:spacing w:before="600" w:after="400" w:line="460" w:lineRule="auto"/>
        <w:jc w:val="center"/>
      </w:pPr>
      <w:r>
        <w:rPr>
          <w:rFonts w:ascii="Times New Roman" w:eastAsia="宋体"/>
          <w:b/>
          <w:bCs/>
          <w:color w:val="000000"/>
          <w:sz w:val="44"/>
          <w:szCs w:val="44"/>
        </w:rPr>
        <w:t>郑 重 声 明</w:t>
      </w:r>
    </w:p>
    <w:p w14:paraId="4A4A647C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团队呈交的设计报告，是在指导老师的指导下，独立进行实验工作所取得的成果，所有数据、图片资料真实可靠。尽我所知，除文中已经注明引用的内容外，本设计报告不包含他人享有著作权的内容。对本设计报告做出贡献的其他个人和集体，均已在文中以明确的方式标明。本设计报告的知识产权归属于培养单位。</w:t>
      </w:r>
    </w:p>
    <w:p w14:paraId="3396B7E1">
      <w:pPr>
        <w:spacing w:before="400"/>
      </w:pPr>
    </w:p>
    <w:p w14:paraId="07C3F760">
      <w:r>
        <w:br w:type="page"/>
      </w:r>
    </w:p>
    <w:p w14:paraId="1B9F2BD8">
      <w:pPr>
        <w:spacing w:before="480" w:after="360" w:line="460" w:lineRule="auto"/>
        <w:jc w:val="center"/>
      </w:pPr>
      <w:r>
        <w:rPr>
          <w:rFonts w:ascii="Times New Roman" w:eastAsia="黑体"/>
          <w:b/>
          <w:bCs/>
          <w:color w:val="000000"/>
          <w:sz w:val="36"/>
          <w:szCs w:val="36"/>
        </w:rPr>
        <w:t>目  录</w:t>
      </w:r>
    </w:p>
    <w:sdt>
      <w:sdtPr>
        <w:alias w:val="Table of Contents"/>
        <w:id w:val="147473544"/>
      </w:sdtPr>
      <w:sdtContent>
        <w:p w14:paraId="1AF6907B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1DCD45C">
          <w:pPr>
            <w:pStyle w:val="11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9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46DBC9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9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797752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9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77ED7C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9"/>
            </w:rPr>
            <w:t>1.3 定义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CF6737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9"/>
            </w:rPr>
            <w:t>1.4 参考文献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3C1F67">
          <w:pPr>
            <w:pStyle w:val="11"/>
            <w:spacing w:before="120" w:after="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9"/>
            </w:rPr>
            <w:t>2 总体描述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6668B7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9"/>
            </w:rPr>
            <w:t>2.1 用户特征与假定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16421F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9"/>
            </w:rPr>
            <w:t>2.2 功能需求概述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BA368C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9"/>
            </w:rPr>
            <w:t>2.3 非功能需求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BD2D42">
          <w:pPr>
            <w:pStyle w:val="11"/>
            <w:spacing w:before="120" w:after="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9"/>
            </w:rPr>
            <w:t>3 分析模型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2FD0DF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9"/>
            </w:rPr>
            <w:t>3.1 用例的场景描述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1FE5EB">
          <w:pPr>
            <w:pStyle w:val="9"/>
            <w:spacing w:before="120" w:after="60"/>
            <w:ind w:left="72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9"/>
            </w:rPr>
            <w:t>3.1.1 UC-01 浏览科研与竞赛信息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74853E">
          <w:pPr>
            <w:pStyle w:val="9"/>
            <w:spacing w:before="120" w:after="60"/>
            <w:ind w:left="72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9"/>
            </w:rPr>
            <w:t>3.1.2 UC-02 发起组队招募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6A2C6B">
          <w:pPr>
            <w:pStyle w:val="9"/>
            <w:spacing w:before="120" w:after="60"/>
            <w:ind w:left="72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9"/>
            </w:rPr>
            <w:t>3.1.3 UC-03 上传竞赛证书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3BC394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9"/>
            </w:rPr>
            <w:t>3.2 数据流动图与数据字典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5F9D582">
          <w:pPr>
            <w:pStyle w:val="9"/>
            <w:spacing w:before="120" w:after="60"/>
            <w:ind w:left="72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9"/>
            </w:rPr>
            <w:t>3.2.1 顶层数据流图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1ABF24">
          <w:pPr>
            <w:pStyle w:val="9"/>
            <w:spacing w:before="120" w:after="60"/>
            <w:ind w:left="72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19"/>
            </w:rPr>
            <w:t>3.2.2 0层数据流图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CA9A5F0">
          <w:pPr>
            <w:pStyle w:val="9"/>
            <w:spacing w:before="120" w:after="60"/>
            <w:ind w:left="72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19"/>
            </w:rPr>
            <w:t>3.2.3 1层数据流图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9DEE5B">
          <w:pPr>
            <w:pStyle w:val="9"/>
            <w:spacing w:before="120" w:after="60"/>
            <w:ind w:left="720"/>
          </w:pPr>
          <w:r>
            <w:fldChar w:fldCharType="begin"/>
          </w:r>
          <w:r>
            <w:instrText xml:space="preserve"> HYPERLINK \l "_Toc100018" </w:instrText>
          </w:r>
          <w:r>
            <w:fldChar w:fldCharType="separate"/>
          </w:r>
          <w:r>
            <w:rPr>
              <w:rStyle w:val="19"/>
            </w:rPr>
            <w:t>3.2.4 数据字典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F22EF96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"_Toc100019" </w:instrText>
          </w:r>
          <w:r>
            <w:fldChar w:fldCharType="separate"/>
          </w:r>
          <w:r>
            <w:rPr>
              <w:rStyle w:val="19"/>
            </w:rPr>
            <w:t>3.3 实体-联系图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9D1A061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"_Toc100020" </w:instrText>
          </w:r>
          <w:r>
            <w:fldChar w:fldCharType="separate"/>
          </w:r>
          <w:r>
            <w:rPr>
              <w:rStyle w:val="19"/>
            </w:rPr>
            <w:t>3.4 状态转换图</w:t>
          </w:r>
          <w:r>
            <w:tab/>
          </w:r>
          <w:r>
            <w:fldChar w:fldCharType="begin"/>
          </w:r>
          <w:r>
            <w:instrText xml:space="preserve"> PAGEREF _Toc100020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335FAE6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"_Toc100021" </w:instrText>
          </w:r>
          <w:r>
            <w:fldChar w:fldCharType="separate"/>
          </w:r>
          <w:r>
            <w:rPr>
              <w:rStyle w:val="19"/>
            </w:rPr>
            <w:t>3.5 类图</w:t>
          </w:r>
          <w:r>
            <w:tab/>
          </w:r>
          <w:r>
            <w:fldChar w:fldCharType="begin"/>
          </w:r>
          <w:r>
            <w:instrText xml:space="preserve"> PAGEREF _Toc100021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882AA4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"_Toc100022" </w:instrText>
          </w:r>
          <w:r>
            <w:fldChar w:fldCharType="separate"/>
          </w:r>
          <w:r>
            <w:rPr>
              <w:rStyle w:val="19"/>
            </w:rPr>
            <w:t>3.6 顺序图</w:t>
          </w:r>
          <w:r>
            <w:tab/>
          </w:r>
          <w:r>
            <w:fldChar w:fldCharType="begin"/>
          </w:r>
          <w:r>
            <w:instrText xml:space="preserve"> PAGEREF _Toc100022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BD2411C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"_Toc100023" </w:instrText>
          </w:r>
          <w:r>
            <w:fldChar w:fldCharType="separate"/>
          </w:r>
          <w:r>
            <w:rPr>
              <w:rStyle w:val="19"/>
            </w:rPr>
            <w:t>3.7 包图</w:t>
          </w:r>
          <w:r>
            <w:tab/>
          </w:r>
          <w:r>
            <w:fldChar w:fldCharType="begin"/>
          </w:r>
          <w:r>
            <w:instrText xml:space="preserve"> PAGEREF _Toc100023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C723B9E">
          <w:pPr>
            <w:pStyle w:val="11"/>
            <w:spacing w:before="120" w:after="60"/>
          </w:pPr>
          <w:r>
            <w:fldChar w:fldCharType="begin"/>
          </w:r>
          <w:r>
            <w:instrText xml:space="preserve"> HYPERLINK \l "_Toc100024" </w:instrText>
          </w:r>
          <w:r>
            <w:fldChar w:fldCharType="separate"/>
          </w:r>
          <w:r>
            <w:rPr>
              <w:rStyle w:val="19"/>
            </w:rPr>
            <w:t>4 需求可追踪性</w:t>
          </w:r>
          <w:r>
            <w:tab/>
          </w:r>
          <w:r>
            <w:fldChar w:fldCharType="begin"/>
          </w:r>
          <w:r>
            <w:instrText xml:space="preserve"> PAGEREF _Toc100024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A238EF6">
          <w:pPr>
            <w:pStyle w:val="11"/>
            <w:spacing w:before="120" w:after="60"/>
          </w:pPr>
          <w:r>
            <w:fldChar w:fldCharType="begin"/>
          </w:r>
          <w:r>
            <w:instrText xml:space="preserve"> HYPERLINK \l "_Toc100025" </w:instrText>
          </w:r>
          <w:r>
            <w:fldChar w:fldCharType="separate"/>
          </w:r>
          <w:r>
            <w:rPr>
              <w:rStyle w:val="19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_Toc100025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339E33">
          <w:pPr>
            <w:pStyle w:val="11"/>
            <w:spacing w:before="120" w:after="60"/>
          </w:pPr>
          <w:r>
            <w:fldChar w:fldCharType="begin"/>
          </w:r>
          <w:r>
            <w:instrText xml:space="preserve"> HYPERLINK \l "_Toc100026" </w:instrText>
          </w:r>
          <w:r>
            <w:fldChar w:fldCharType="separate"/>
          </w:r>
          <w:r>
            <w:rPr>
              <w:rStyle w:val="19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_Toc100026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3E6B464">
          <w:pPr>
            <w:pStyle w:val="13"/>
            <w:spacing w:before="120" w:after="60"/>
            <w:ind w:left="360"/>
          </w:pPr>
          <w:r>
            <w:fldChar w:fldCharType="begin"/>
          </w:r>
          <w:r>
            <w:instrText xml:space="preserve"> HYPERLINK \l "_Toc100027" </w:instrText>
          </w:r>
          <w:r>
            <w:fldChar w:fldCharType="separate"/>
          </w:r>
          <w:r>
            <w:rPr>
              <w:rStyle w:val="19"/>
            </w:rPr>
            <w:t>附录A：团队分工说明</w:t>
          </w:r>
          <w:r>
            <w:tab/>
          </w:r>
          <w:r>
            <w:fldChar w:fldCharType="begin"/>
          </w:r>
          <w:r>
            <w:instrText xml:space="preserve"> PAGEREF _Toc100027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2E84C91">
          <w:r>
            <w:fldChar w:fldCharType="end"/>
          </w:r>
        </w:p>
      </w:sdtContent>
    </w:sdt>
    <w:p w14:paraId="74CF861B">
      <w:r>
        <w:br w:type="page"/>
      </w:r>
    </w:p>
    <w:p w14:paraId="77F4CA31">
      <w:pPr>
        <w:sectPr>
          <w:headerReference r:id="rId5" w:type="default"/>
          <w:footerReference r:id="rId6" w:type="default"/>
          <w:pgSz w:w="11906" w:h="16838"/>
          <w:pgMar w:top="1417" w:right="1701" w:bottom="1134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3F1CADA1">
      <w:pPr>
        <w:pStyle w:val="2"/>
        <w:spacing w:before="192" w:after="120" w:line="460" w:lineRule="auto"/>
        <w:jc w:val="center"/>
      </w:pPr>
      <w:bookmarkStart w:id="0" w:name="_Toc100000"/>
      <w:r>
        <w:rPr>
          <w:rFonts w:ascii="Times New Roman" w:eastAsia="黑体"/>
          <w:b/>
          <w:bCs/>
          <w:color w:val="000000"/>
          <w:sz w:val="36"/>
          <w:szCs w:val="36"/>
        </w:rPr>
        <w:t>1 引言</w:t>
      </w:r>
      <w:bookmarkEnd w:id="0"/>
    </w:p>
    <w:p w14:paraId="5B4F5F77">
      <w:pPr>
        <w:pStyle w:val="3"/>
        <w:spacing w:before="120" w:after="120" w:line="460" w:lineRule="auto"/>
        <w:jc w:val="left"/>
      </w:pPr>
      <w:bookmarkStart w:id="1" w:name="_Toc100001"/>
      <w:r>
        <w:rPr>
          <w:rFonts w:ascii="Times New Roman" w:eastAsia="黑体"/>
          <w:b/>
          <w:bCs/>
          <w:color w:val="000000"/>
          <w:sz w:val="28"/>
          <w:szCs w:val="28"/>
        </w:rPr>
        <w:t>1.1 编写目的</w:t>
      </w:r>
      <w:bookmarkEnd w:id="1"/>
      <w:r>
        <w:commentReference w:id="1"/>
      </w:r>
    </w:p>
    <w:p w14:paraId="0FFD6064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文档是星轨（StarTrack）平台的需求规格说明，旨在明确系统应具备的功能、性能与约束，为后续设计与开发提供基线依据。本文档的主要读者包括项目组成员、指导教师以及课程评审人员，同时也可供后续维护人员参考。需求规格说明是软件工程过程中的关键里程碑产品，它将用户需求转化为明确的技术规范，确保开发团队对系统功能达成一致理解。</w:t>
      </w:r>
    </w:p>
    <w:p w14:paraId="6AD916B5">
      <w:pPr>
        <w:pStyle w:val="3"/>
        <w:spacing w:before="120" w:after="120" w:line="460" w:lineRule="auto"/>
        <w:jc w:val="left"/>
      </w:pPr>
      <w:bookmarkStart w:id="2" w:name="_Toc100002"/>
      <w:r>
        <w:rPr>
          <w:rFonts w:ascii="Times New Roman" w:eastAsia="黑体"/>
          <w:b/>
          <w:bCs/>
          <w:color w:val="000000"/>
          <w:sz w:val="28"/>
          <w:szCs w:val="28"/>
        </w:rPr>
        <w:t>1.2 项目背景</w:t>
      </w:r>
      <w:bookmarkEnd w:id="2"/>
    </w:p>
    <w:p w14:paraId="15B2820A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高校学生在科研与竞赛信息获取方面面临信息分散、组队困难、证书管理混乱等痛点。当前，科研招募信息散布在各院系网站、导师个人页面与社交媒体上，竞赛信息则分布在各类竞赛官网与第三方平台，学生难以高效获取全面信息。组队招募主要依赖社交媒体和口头传播，缺乏统一平台，导致匹配效率低下。证书管理也缺少统一的数字化工具，学生往往只能手动整理纸质证书或散落的电子文件。星轨平台旨在通过信息聚合、智能匹配与证书管理三大核心功能，解决上述痛点，提升高校科研与竞赛的信息化水平。</w:t>
      </w:r>
    </w:p>
    <w:p w14:paraId="2356C5A0">
      <w:pPr>
        <w:pStyle w:val="3"/>
        <w:spacing w:before="120" w:after="120" w:line="460" w:lineRule="auto"/>
        <w:jc w:val="left"/>
      </w:pPr>
      <w:bookmarkStart w:id="3" w:name="_Toc100003"/>
      <w:r>
        <w:rPr>
          <w:rFonts w:ascii="Times New Roman" w:eastAsia="黑体"/>
          <w:b/>
          <w:bCs/>
          <w:color w:val="000000"/>
          <w:sz w:val="28"/>
          <w:szCs w:val="28"/>
        </w:rPr>
        <w:t>1.3 定义</w:t>
      </w:r>
      <w:bookmarkEnd w:id="3"/>
    </w:p>
    <w:p w14:paraId="382726D7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信息聚合：将多源科研与竞赛信息整合到统一平台展示的功能。星轨平台通过爬取、接入等方式将分散在各类网站的竞赛信息、科研招募信息等聚合到平台上，使用户可以在一个入口获取所有相关信息。</w:t>
      </w:r>
    </w:p>
    <w:p w14:paraId="2738B89E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队伍匹配：根据技能、兴趣等维度推荐竞赛队伍或队员的功能。系统通过分析用户填写的技能标签、竞赛偏好等信息，智能匹配志同道合的队友，提高组队效率。</w:t>
      </w:r>
    </w:p>
    <w:p w14:paraId="6BD48EB9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证书管理：对竞赛获奖证书进行数字化存储、展示与验证的功能。学生可以上传竞赛获奖证书的电子版，系统提供安全存储、便捷展示和可信验证的一站式服务。</w:t>
      </w:r>
    </w:p>
    <w:p w14:paraId="0826997E">
      <w:pPr>
        <w:pStyle w:val="3"/>
        <w:spacing w:before="120" w:after="120" w:line="460" w:lineRule="auto"/>
        <w:jc w:val="left"/>
      </w:pPr>
      <w:bookmarkStart w:id="4" w:name="_Toc100004"/>
      <w:r>
        <w:rPr>
          <w:rFonts w:ascii="Times New Roman" w:eastAsia="黑体"/>
          <w:b/>
          <w:bCs/>
          <w:color w:val="000000"/>
          <w:sz w:val="28"/>
          <w:szCs w:val="28"/>
        </w:rPr>
        <w:t>1.4 参考文献</w:t>
      </w:r>
      <w:bookmarkEnd w:id="4"/>
    </w:p>
    <w:p w14:paraId="6D2FEEED">
      <w:pPr>
        <w:keepNext w:val="0"/>
        <w:spacing w:line="460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[1] ISO/IEC/IEEE 29148:2018, Systems and software engineering — Life cycle processes — Requirements engineering.</w:t>
      </w:r>
    </w:p>
    <w:p w14:paraId="3BCF727A">
      <w:pPr>
        <w:keepNext w:val="0"/>
        <w:spacing w:line="460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[2] 武汉大学计算机学院. 本科生课程设计报告书写印制规范（修订版）, 2019.</w:t>
      </w:r>
    </w:p>
    <w:p w14:paraId="35914C53">
      <w:pPr>
        <w:pStyle w:val="2"/>
        <w:spacing w:before="192" w:after="120" w:line="460" w:lineRule="auto"/>
        <w:jc w:val="center"/>
      </w:pPr>
      <w:bookmarkStart w:id="5" w:name="_Toc100005"/>
      <w:r>
        <w:rPr>
          <w:rFonts w:ascii="Times New Roman" w:eastAsia="黑体"/>
          <w:b/>
          <w:bCs/>
          <w:color w:val="000000"/>
          <w:sz w:val="36"/>
          <w:szCs w:val="36"/>
        </w:rPr>
        <w:t>2 总体描述</w:t>
      </w:r>
      <w:bookmarkEnd w:id="5"/>
    </w:p>
    <w:p w14:paraId="5818C1FC">
      <w:pPr>
        <w:pStyle w:val="3"/>
        <w:spacing w:before="120" w:after="120" w:line="460" w:lineRule="auto"/>
        <w:jc w:val="left"/>
      </w:pPr>
      <w:bookmarkStart w:id="6" w:name="_Toc100006"/>
      <w:r>
        <w:rPr>
          <w:rFonts w:ascii="Times New Roman" w:eastAsia="黑体"/>
          <w:b/>
          <w:bCs/>
          <w:color w:val="000000"/>
          <w:sz w:val="28"/>
          <w:szCs w:val="28"/>
        </w:rPr>
        <w:t>2.1 用户特征与假定</w:t>
      </w:r>
      <w:bookmarkEnd w:id="6"/>
    </w:p>
    <w:p w14:paraId="739C8142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系统的主要用户分为三类：学生、导师和管理员。学生是系统的主要使用者，其主要需求包括浏览科研与竞赛信息、发起组队招募、申请加入团队以及管理个人证书。导师主要发布科研招募信息并管理招募进度。管理员负责平台内容审核与用户管理。假定用户具备基本的Web浏览器使用能力，并拥有学校邮箱账号用于注册登录。</w:t>
      </w:r>
    </w:p>
    <w:tbl>
      <w:tblPr>
        <w:tblStyle w:val="15"/>
        <w:tblW w:w="5000" w:type="pct"/>
        <w:tblInd w:w="0" w:type="dxa"/>
        <w:tblBorders>
          <w:top w:val="single" w:color="000000" w:sz="2" w:space="0"/>
          <w:left w:val="none" w:color="FFFFFF" w:sz="0" w:space="0"/>
          <w:bottom w:val="single" w:color="000000" w:sz="2" w:space="0"/>
          <w:right w:val="none" w:color="FFFFFF" w:sz="0" w:space="0"/>
          <w:insideH w:val="single" w:color="000000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4"/>
        <w:gridCol w:w="3251"/>
        <w:gridCol w:w="3249"/>
      </w:tblGrid>
      <w:tr w14:paraId="3980895D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F8C2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用户类型</w:t>
            </w:r>
          </w:p>
        </w:tc>
        <w:tc>
          <w:tcPr>
            <w:tcW w:w="36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40D8A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主要操作</w:t>
            </w:r>
          </w:p>
        </w:tc>
        <w:tc>
          <w:tcPr>
            <w:tcW w:w="36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0FE26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技术水平</w:t>
            </w:r>
          </w:p>
        </w:tc>
      </w:tr>
      <w:tr w14:paraId="1E458EDE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D068B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学生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E89A9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浏览信息、发起招募、上传证书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7942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熟练使用Web浏览器</w:t>
            </w:r>
          </w:p>
        </w:tc>
      </w:tr>
      <w:tr w14:paraId="5B835881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7E966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导师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97422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发布科研招募、管理招募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8550B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基本Web操作</w:t>
            </w:r>
          </w:p>
        </w:tc>
      </w:tr>
      <w:tr w14:paraId="74574099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7279C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管理员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C9C05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内容审核、用户管理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489C4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熟悉后台管理</w:t>
            </w:r>
          </w:p>
        </w:tc>
      </w:tr>
    </w:tbl>
    <w:p w14:paraId="12D0F8A4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表 1 用户特征概览</w:t>
      </w:r>
    </w:p>
    <w:p w14:paraId="2AFD5141">
      <w:pPr>
        <w:pStyle w:val="3"/>
        <w:spacing w:before="120" w:after="120" w:line="460" w:lineRule="auto"/>
        <w:jc w:val="left"/>
      </w:pPr>
      <w:bookmarkStart w:id="7" w:name="_Toc100007"/>
      <w:r>
        <w:rPr>
          <w:rFonts w:ascii="Times New Roman" w:eastAsia="黑体"/>
          <w:b/>
          <w:bCs/>
          <w:color w:val="000000"/>
          <w:sz w:val="28"/>
          <w:szCs w:val="28"/>
        </w:rPr>
        <w:t>2.2 功能需求概述</w:t>
      </w:r>
      <w:bookmarkEnd w:id="7"/>
    </w:p>
    <w:p w14:paraId="6F8B6503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星轨平台的功能需求按优先级分为高、中、低三级。高优先级需求为系统核心功能，必须在第一版本中实现；中优先级需求为重要但可延后实现的功能；低优先级需求为锦上添花的增强功能。以下表格列出了各功能需求的编号、描述与优先级。</w:t>
      </w:r>
    </w:p>
    <w:tbl>
      <w:tblPr>
        <w:tblStyle w:val="15"/>
        <w:tblW w:w="5000" w:type="pct"/>
        <w:tblInd w:w="0" w:type="dxa"/>
        <w:tblBorders>
          <w:top w:val="single" w:color="000000" w:sz="2" w:space="0"/>
          <w:left w:val="none" w:color="FFFFFF" w:sz="0" w:space="0"/>
          <w:bottom w:val="single" w:color="000000" w:sz="2" w:space="0"/>
          <w:right w:val="none" w:color="FFFFFF" w:sz="0" w:space="0"/>
          <w:insideH w:val="single" w:color="000000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5570"/>
        <w:gridCol w:w="1238"/>
      </w:tblGrid>
      <w:tr w14:paraId="2966972B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E551D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54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D2774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需求描述</w:t>
            </w:r>
          </w:p>
        </w:tc>
        <w:tc>
          <w:tcPr>
            <w:tcW w:w="12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0DE67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优先级</w:t>
            </w:r>
          </w:p>
        </w:tc>
      </w:tr>
      <w:tr w14:paraId="015A2D9D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290F1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R-H-01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7EF29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用户注册登录及角色划分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598FF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高</w:t>
            </w:r>
          </w:p>
        </w:tc>
      </w:tr>
      <w:tr w14:paraId="3DA88C47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3D3BA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R-H-02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DCB72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科研/竞赛基本信息展示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96AB2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高</w:t>
            </w:r>
          </w:p>
        </w:tc>
      </w:tr>
      <w:tr w14:paraId="0EEF5400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81E67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R-H-03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8939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发起组队招募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139F5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高</w:t>
            </w:r>
          </w:p>
        </w:tc>
      </w:tr>
      <w:tr w14:paraId="12EEC869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2E3F1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R-H-04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7812D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发布科研招募及申请功能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EBB6F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高</w:t>
            </w:r>
          </w:p>
        </w:tc>
      </w:tr>
      <w:tr w14:paraId="04E0CF14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C204E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R-M-01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BB9B9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技能标签智能匹配队友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E02FF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中</w:t>
            </w:r>
          </w:p>
        </w:tc>
      </w:tr>
      <w:tr w14:paraId="211AD992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DDB7E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R-M-02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9EA11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竞赛证书上传与展示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8D765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中</w:t>
            </w:r>
          </w:p>
        </w:tc>
      </w:tr>
      <w:tr w14:paraId="16FC4238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D9377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R-L-01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6E9A2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竞赛日历提醒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9853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低</w:t>
            </w:r>
          </w:p>
        </w:tc>
      </w:tr>
      <w:tr w14:paraId="301DDF05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454AB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R-L-02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C8337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科研成果展示墙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8324D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低</w:t>
            </w:r>
          </w:p>
        </w:tc>
      </w:tr>
    </w:tbl>
    <w:p w14:paraId="2A9AEE56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表 2 功能需求概览</w:t>
      </w:r>
    </w:p>
    <w:p w14:paraId="1DAC02A0">
      <w:pPr>
        <w:pStyle w:val="3"/>
        <w:spacing w:before="120" w:after="120" w:line="460" w:lineRule="auto"/>
        <w:jc w:val="left"/>
      </w:pPr>
      <w:bookmarkStart w:id="8" w:name="_Toc100008"/>
      <w:r>
        <w:rPr>
          <w:rFonts w:ascii="Times New Roman" w:eastAsia="黑体"/>
          <w:b/>
          <w:bCs/>
          <w:color w:val="000000"/>
          <w:sz w:val="28"/>
          <w:szCs w:val="28"/>
        </w:rPr>
        <w:t>2.3 非功能需求</w:t>
      </w:r>
      <w:bookmarkEnd w:id="8"/>
      <w:r>
        <w:commentReference w:id="2"/>
      </w:r>
    </w:p>
    <w:tbl>
      <w:tblPr>
        <w:tblStyle w:val="15"/>
        <w:tblW w:w="5000" w:type="pct"/>
        <w:tblInd w:w="0" w:type="dxa"/>
        <w:tblBorders>
          <w:top w:val="single" w:color="000000" w:sz="2" w:space="0"/>
          <w:left w:val="none" w:color="FFFFFF" w:sz="0" w:space="0"/>
          <w:bottom w:val="single" w:color="000000" w:sz="2" w:space="0"/>
          <w:right w:val="none" w:color="FFFFFF" w:sz="0" w:space="0"/>
          <w:insideH w:val="single" w:color="000000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8"/>
        <w:gridCol w:w="6916"/>
      </w:tblGrid>
      <w:tr w14:paraId="0808D858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C604C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72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FEF65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需求描述</w:t>
            </w:r>
          </w:p>
        </w:tc>
      </w:tr>
      <w:tr w14:paraId="107E9D4A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9EE7C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EAE06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页面加载时间不超过2秒（首屏内容）</w:t>
            </w:r>
          </w:p>
        </w:tc>
      </w:tr>
      <w:tr w14:paraId="170621EC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4E34C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2F786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系统支持并发500用户同时在线</w:t>
            </w:r>
          </w:p>
        </w:tc>
      </w:tr>
      <w:tr w14:paraId="762838BF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989A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C7743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用户数据加密存储，符合等保2.0要求</w:t>
            </w:r>
          </w:p>
        </w:tc>
      </w:tr>
      <w:tr w14:paraId="495BA499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D67A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D87E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支持Chrome、Firefox主流浏览器</w:t>
            </w:r>
          </w:p>
        </w:tc>
      </w:tr>
      <w:tr w14:paraId="564B63A7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E259C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DBB39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接口响应时间P99不超过500ms</w:t>
            </w:r>
          </w:p>
        </w:tc>
      </w:tr>
    </w:tbl>
    <w:p w14:paraId="5B784E66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表 3 非功能需求</w:t>
      </w:r>
    </w:p>
    <w:p w14:paraId="37686201">
      <w:pPr>
        <w:pStyle w:val="2"/>
        <w:spacing w:before="192" w:after="120" w:line="460" w:lineRule="auto"/>
        <w:jc w:val="center"/>
      </w:pPr>
      <w:bookmarkStart w:id="9" w:name="_Toc100009"/>
      <w:r>
        <w:rPr>
          <w:rFonts w:ascii="Times New Roman" w:eastAsia="黑体"/>
          <w:b/>
          <w:bCs/>
          <w:color w:val="000000"/>
          <w:sz w:val="36"/>
          <w:szCs w:val="36"/>
        </w:rPr>
        <w:t>3 分析模型</w:t>
      </w:r>
      <w:bookmarkEnd w:id="9"/>
    </w:p>
    <w:p w14:paraId="55F1C905">
      <w:pPr>
        <w:pStyle w:val="3"/>
        <w:spacing w:before="120" w:after="120" w:line="460" w:lineRule="auto"/>
        <w:jc w:val="left"/>
      </w:pPr>
      <w:bookmarkStart w:id="10" w:name="_Toc100010"/>
      <w:r>
        <w:rPr>
          <w:rFonts w:ascii="Times New Roman" w:eastAsia="黑体"/>
          <w:b/>
          <w:bCs/>
          <w:color w:val="000000"/>
          <w:sz w:val="28"/>
          <w:szCs w:val="28"/>
        </w:rPr>
        <w:t>3.1 用例的场景描述</w:t>
      </w:r>
      <w:bookmarkEnd w:id="10"/>
    </w:p>
    <w:p w14:paraId="752BE12D">
      <w:pPr>
        <w:pStyle w:val="4"/>
        <w:spacing w:before="120" w:after="120" w:line="460" w:lineRule="auto"/>
        <w:jc w:val="left"/>
      </w:pPr>
      <w:bookmarkStart w:id="11" w:name="_Toc100011"/>
      <w:r>
        <w:rPr>
          <w:rFonts w:ascii="Times New Roman" w:eastAsia="黑体"/>
          <w:b/>
          <w:bCs/>
          <w:color w:val="000000"/>
          <w:sz w:val="24"/>
          <w:szCs w:val="24"/>
        </w:rPr>
        <w:t>3.1.1 UC-01 浏览科研与竞赛信息</w:t>
      </w:r>
      <w:bookmarkEnd w:id="11"/>
    </w:p>
    <w:p w14:paraId="7A77D142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用例名称：浏览科研与竞赛信息 </w:t>
      </w:r>
    </w:p>
    <w:p w14:paraId="603E926E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参与者：学生（主角色）  </w:t>
      </w:r>
    </w:p>
    <w:p w14:paraId="0E797B74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前置条件：学生已登录系统 </w:t>
      </w:r>
    </w:p>
    <w:p w14:paraId="32A883AF">
      <w:pPr>
        <w:keepNext w:val="0"/>
        <w:spacing w:line="460" w:lineRule="auto"/>
        <w:ind w:firstLine="480" w:firstLineChars="20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后置条件：学生获取到感兴趣的科研/竞赛信息  </w:t>
      </w:r>
    </w:p>
    <w:p w14:paraId="22A5F2EE">
      <w:pPr>
        <w:keepNext w:val="0"/>
        <w:spacing w:line="460" w:lineRule="auto"/>
        <w:ind w:firstLine="480" w:firstLineChars="20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主流程：学生打开首页，系统展示科研招募与竞赛信息列表；学生可按类型、级别等筛选；点击某条信息查看详情。</w:t>
      </w:r>
    </w:p>
    <w:p w14:paraId="18517818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备选流程：若筛选条件无结果，系统提示“暂无匹配信息”并建议调整筛选条件。</w:t>
      </w:r>
    </w:p>
    <w:p w14:paraId="6856F4CD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异常流程：若网络异常，系统显示“加载失败，请稍后重试”提示。</w:t>
      </w:r>
    </w:p>
    <w:p w14:paraId="1EC02D5F">
      <w:pPr>
        <w:pStyle w:val="4"/>
        <w:spacing w:before="120" w:after="120" w:line="460" w:lineRule="auto"/>
        <w:jc w:val="left"/>
      </w:pPr>
      <w:bookmarkStart w:id="12" w:name="_Toc100012"/>
      <w:r>
        <w:rPr>
          <w:rFonts w:ascii="Times New Roman" w:eastAsia="黑体"/>
          <w:b/>
          <w:bCs/>
          <w:color w:val="000000"/>
          <w:sz w:val="24"/>
          <w:szCs w:val="24"/>
        </w:rPr>
        <w:t>3.1.2 UC-02 发起组队招募</w:t>
      </w:r>
      <w:bookmarkEnd w:id="12"/>
    </w:p>
    <w:p w14:paraId="41C9724C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用例名称：发起组队招募  </w:t>
      </w:r>
    </w:p>
    <w:p w14:paraId="39801D5D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参与者：学生（主角色）  </w:t>
      </w:r>
    </w:p>
    <w:p w14:paraId="7DA625DD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前置条件：学生已登录系统  </w:t>
      </w:r>
    </w:p>
    <w:p w14:paraId="00BB6FEB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后置条件：招募信息发布成功并可被其他用户浏览  </w:t>
      </w:r>
    </w:p>
    <w:p w14:paraId="43715C2F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主流程：学生点击“发起招募”按钮；系统展示招募表单；学生填写标题、竞赛关联、技能要求、联系方式等字段；提交后系统验证必填项并保存；系统返回发布成功提示。</w:t>
      </w:r>
    </w:p>
    <w:p w14:paraId="05D1C683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备选流程：若必填项未填写，系统高亮未填字段并提示补充。</w:t>
      </w:r>
    </w:p>
    <w:p w14:paraId="279431EE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异常流程：若关联竞赛不存在，系统提示“该竞赛不存在，请重新选择”。</w:t>
      </w:r>
    </w:p>
    <w:p w14:paraId="3E232E96">
      <w:pPr>
        <w:pStyle w:val="4"/>
        <w:spacing w:before="120" w:after="120" w:line="460" w:lineRule="auto"/>
        <w:jc w:val="left"/>
      </w:pPr>
      <w:bookmarkStart w:id="13" w:name="_Toc100013"/>
      <w:r>
        <w:rPr>
          <w:rFonts w:ascii="Times New Roman" w:eastAsia="黑体"/>
          <w:b/>
          <w:bCs/>
          <w:color w:val="000000"/>
          <w:sz w:val="24"/>
          <w:szCs w:val="24"/>
        </w:rPr>
        <w:t>3.1.3 UC-03 上传竞赛证书</w:t>
      </w:r>
      <w:bookmarkEnd w:id="13"/>
    </w:p>
    <w:p w14:paraId="29ACC4FC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用例名称：上传竞赛证书  </w:t>
      </w:r>
    </w:p>
    <w:p w14:paraId="389863A2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参与者：学生（主角色）  </w:t>
      </w:r>
    </w:p>
    <w:p w14:paraId="0E37FEB8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前置条件：学生已登录系统  </w:t>
      </w:r>
    </w:p>
    <w:p w14:paraId="64A4EAF7">
      <w:pPr>
        <w:keepNext w:val="0"/>
        <w:spacing w:line="460" w:lineRule="auto"/>
        <w:ind w:firstLine="480"/>
        <w:jc w:val="both"/>
        <w:rPr>
          <w:rFonts w:ascii="Times New Roman"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后置条件：证书文件上传成功并关联到学生账户  </w:t>
      </w:r>
    </w:p>
    <w:p w14:paraId="0C51E284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主流程：学生进入“我的证书”页面；点击“上传证书”；选择证书文件（支持PDF/JPG/PNG）；填写获奖等级、获奖时间等信息；提交后系统验证文件格式与大小；上传成功后证书显示在列表中。</w:t>
      </w:r>
    </w:p>
    <w:p w14:paraId="5FE9BE88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备选流程：若文件格式不符，系统提示“仅支持PDF/JPG/PNG格式”。异常流程：若文件超过5MB，系统提示“文件大小超限，请压缩后重试”。</w:t>
      </w:r>
    </w:p>
    <w:p w14:paraId="5B178AFE">
      <w:pPr>
        <w:pStyle w:val="3"/>
        <w:spacing w:before="120" w:after="120" w:line="460" w:lineRule="auto"/>
        <w:jc w:val="left"/>
      </w:pPr>
      <w:bookmarkStart w:id="14" w:name="_Toc100014"/>
      <w:r>
        <w:rPr>
          <w:rFonts w:ascii="Times New Roman" w:eastAsia="黑体"/>
          <w:b/>
          <w:bCs/>
          <w:color w:val="000000"/>
          <w:sz w:val="28"/>
          <w:szCs w:val="28"/>
        </w:rPr>
        <w:t>3.2 数据流动图与数据字典</w:t>
      </w:r>
      <w:bookmarkEnd w:id="14"/>
    </w:p>
    <w:p w14:paraId="43A46F1B">
      <w:pPr>
        <w:pStyle w:val="4"/>
        <w:spacing w:before="120" w:after="120" w:line="460" w:lineRule="auto"/>
        <w:jc w:val="left"/>
      </w:pPr>
      <w:bookmarkStart w:id="15" w:name="_Toc100015"/>
      <w:r>
        <w:rPr>
          <w:rFonts w:ascii="Times New Roman" w:eastAsia="黑体"/>
          <w:b/>
          <w:bCs/>
          <w:color w:val="000000"/>
          <w:sz w:val="24"/>
          <w:szCs w:val="24"/>
        </w:rPr>
        <w:t>3.2.1 顶层数据流图</w:t>
      </w:r>
      <w:bookmarkEnd w:id="15"/>
    </w:p>
    <w:p w14:paraId="0B4EF3E0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顶层数据流图展示了系统与外部实体（学生）之间的数据交互关系。学生向系统输入招募信息，系统向学生返回确认信息，同时系统将招募数据存储到数据库中。该图是数据流图分层结构的最顶层，也称为上下文图，它将整个系统视为一个单一处理过程，突出展示了系统与外部环境的交互关系。</w:t>
      </w:r>
    </w:p>
    <w:p w14:paraId="0EB8F4B1">
      <w:pPr>
        <w:spacing w:before="120" w:after="60" w:line="460" w:lineRule="auto"/>
        <w:jc w:val="center"/>
      </w:pPr>
      <w:r>
        <w:drawing>
          <wp:inline distT="0" distB="0" distL="0" distR="0">
            <wp:extent cx="4000500" cy="638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014C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1 顶层数据流图</w:t>
      </w:r>
    </w:p>
    <w:p w14:paraId="035F997B">
      <w:pPr>
        <w:pStyle w:val="4"/>
        <w:spacing w:before="120" w:after="120" w:line="460" w:lineRule="auto"/>
        <w:jc w:val="left"/>
      </w:pPr>
      <w:bookmarkStart w:id="16" w:name="_Toc100016"/>
      <w:r>
        <w:rPr>
          <w:rFonts w:ascii="Times New Roman" w:eastAsia="黑体"/>
          <w:b/>
          <w:bCs/>
          <w:color w:val="000000"/>
          <w:sz w:val="24"/>
          <w:szCs w:val="24"/>
        </w:rPr>
        <w:t>3.2.2 0层数据流图</w:t>
      </w:r>
      <w:bookmarkEnd w:id="16"/>
    </w:p>
    <w:p w14:paraId="751398EE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0层数据流图将顶层处理过程分解为两个子过程：1.0验证并保存招募和2.0生成招募卡片。学生填写招募表单后，数据流入过程1.0进行验证和存储，存储成功的招募数据流入过程2.0生成展示卡片，最终展示给学生。该分解体现了数据流图的逐步细化原则，将复杂处理逻辑拆分为更小的、可管理的子过程。</w:t>
      </w:r>
    </w:p>
    <w:p w14:paraId="5946DDBC">
      <w:pPr>
        <w:spacing w:before="120" w:after="60" w:line="460" w:lineRule="auto"/>
        <w:jc w:val="center"/>
      </w:pPr>
      <w:r>
        <w:drawing>
          <wp:inline distT="0" distB="0" distL="0" distR="0">
            <wp:extent cx="4000500" cy="6238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5D1C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2 0层数据流图</w:t>
      </w:r>
    </w:p>
    <w:p w14:paraId="1A715263">
      <w:pPr>
        <w:pStyle w:val="4"/>
        <w:spacing w:before="120" w:after="120" w:line="460" w:lineRule="auto"/>
        <w:jc w:val="left"/>
      </w:pPr>
      <w:bookmarkStart w:id="17" w:name="_Toc100017"/>
      <w:r>
        <w:rPr>
          <w:rFonts w:ascii="Times New Roman" w:eastAsia="黑体"/>
          <w:b/>
          <w:bCs/>
          <w:color w:val="000000"/>
          <w:sz w:val="24"/>
          <w:szCs w:val="24"/>
        </w:rPr>
        <w:t>3.2.3 1层数据流图</w:t>
      </w:r>
      <w:bookmarkEnd w:id="17"/>
    </w:p>
    <w:p w14:paraId="6B69C344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1层数据流图对过程1.0进一步分解：1.1格式验证负责校验表单数据的合法性，1.2关联项目将招募与竞赛项目关联，1.3存入数据库将完整数据持久化。若格式验证失败，系统直接返回非法提示给学生，不进入后续流程。这种分层结构体现了数据流图的逐步精化原则，从宏观到微观逐层展开系统的数据处理逻辑。</w:t>
      </w:r>
    </w:p>
    <w:p w14:paraId="20A2E0E8">
      <w:pPr>
        <w:spacing w:before="120" w:after="60" w:line="460" w:lineRule="auto"/>
        <w:jc w:val="center"/>
      </w:pPr>
      <w:r>
        <w:drawing>
          <wp:inline distT="0" distB="0" distL="0" distR="0">
            <wp:extent cx="3187065" cy="585851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1D48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3 1层数据流图</w:t>
      </w:r>
    </w:p>
    <w:p w14:paraId="5B2D6289">
      <w:pPr>
        <w:pStyle w:val="4"/>
        <w:spacing w:before="120" w:after="120" w:line="460" w:lineRule="auto"/>
        <w:jc w:val="left"/>
      </w:pPr>
      <w:bookmarkStart w:id="18" w:name="_Toc100018"/>
      <w:r>
        <w:rPr>
          <w:rFonts w:ascii="Times New Roman" w:eastAsia="黑体"/>
          <w:b/>
          <w:bCs/>
          <w:color w:val="000000"/>
          <w:sz w:val="24"/>
          <w:szCs w:val="24"/>
        </w:rPr>
        <w:t>3.2.4 数据字典</w:t>
      </w:r>
      <w:bookmarkEnd w:id="18"/>
    </w:p>
    <w:p w14:paraId="5A916CCF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数据字典对数据流图中的数据流和数据存储进行精确定义，确保每个数据项的含义、结构和约束明确无歧义。以下表格列出了主要数据流和数据存储的定义。</w:t>
      </w:r>
    </w:p>
    <w:tbl>
      <w:tblPr>
        <w:tblStyle w:val="15"/>
        <w:tblW w:w="5000" w:type="pct"/>
        <w:tblInd w:w="0" w:type="dxa"/>
        <w:tblBorders>
          <w:top w:val="single" w:color="000000" w:sz="2" w:space="0"/>
          <w:left w:val="none" w:color="FFFFFF" w:sz="0" w:space="0"/>
          <w:bottom w:val="single" w:color="000000" w:sz="2" w:space="0"/>
          <w:right w:val="none" w:color="FFFFFF" w:sz="0" w:space="0"/>
          <w:insideH w:val="single" w:color="000000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0"/>
        <w:gridCol w:w="4330"/>
        <w:gridCol w:w="2364"/>
      </w:tblGrid>
      <w:tr w14:paraId="530E610B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66548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数据项</w:t>
            </w:r>
          </w:p>
        </w:tc>
        <w:tc>
          <w:tcPr>
            <w:tcW w:w="44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6CE76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组成</w:t>
            </w:r>
          </w:p>
        </w:tc>
        <w:tc>
          <w:tcPr>
            <w:tcW w:w="24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00029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备注</w:t>
            </w:r>
          </w:p>
        </w:tc>
      </w:tr>
      <w:tr w14:paraId="65080C18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81F73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招募信息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CFB09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标题+竞赛关联+技能要求+联系方式+状态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AA47D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学生→系统</w:t>
            </w:r>
          </w:p>
        </w:tc>
      </w:tr>
      <w:tr w14:paraId="1DD87D61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EDB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招募数据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B70DC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招募信息+发布者ID+时间戳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AB31A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系统内部流</w:t>
            </w:r>
          </w:p>
        </w:tc>
      </w:tr>
      <w:tr w14:paraId="2D1A34C6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CA829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验证结果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1819A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合法/非法+错误字段列表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7CECB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系统→学生</w:t>
            </w:r>
          </w:p>
        </w:tc>
      </w:tr>
      <w:tr w14:paraId="2DF59D4A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9C918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招募信息存储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0210A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全部招募记录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04BED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持久化存储</w:t>
            </w:r>
          </w:p>
        </w:tc>
      </w:tr>
      <w:tr w14:paraId="7053BB2B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D8A33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卡片展示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26CB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标题+技能标签+状态+发布时间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3EAFA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系统→学生</w:t>
            </w:r>
          </w:p>
        </w:tc>
      </w:tr>
    </w:tbl>
    <w:p w14:paraId="26FD247A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表 4 数据字典</w:t>
      </w:r>
    </w:p>
    <w:p w14:paraId="68313AA7">
      <w:pPr>
        <w:pStyle w:val="3"/>
        <w:spacing w:before="120" w:after="120" w:line="460" w:lineRule="auto"/>
        <w:jc w:val="left"/>
      </w:pPr>
      <w:bookmarkStart w:id="19" w:name="_Toc100019"/>
      <w:r>
        <w:rPr>
          <w:rFonts w:ascii="Times New Roman" w:eastAsia="黑体"/>
          <w:b/>
          <w:bCs/>
          <w:color w:val="000000"/>
          <w:sz w:val="28"/>
          <w:szCs w:val="28"/>
        </w:rPr>
        <w:t>3.3 实体-联系图</w:t>
      </w:r>
      <w:bookmarkEnd w:id="19"/>
      <w:r>
        <w:commentReference w:id="3"/>
      </w:r>
    </w:p>
    <w:p w14:paraId="0A4E78AE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实体-联系图（ER图）展示了系统的核心数据实体及其之间的关系。系统的主要实体包括用户、学生、导师、竞赛、招募和证书。其中，学生和导师继承自用户实体，招募与学生之间存在发布关系，招募与竞赛之间存在所属关系，证书与学生之间存在持有关系。该ER图采用了边界-控制-实体（BCE）模式进行组织，将系统元素分为边界类、控制类和实体类三层，清晰地展示了系统的逻辑架构。</w:t>
      </w:r>
    </w:p>
    <w:p w14:paraId="06F2A07A">
      <w:pPr>
        <w:spacing w:before="120" w:after="60" w:line="460" w:lineRule="auto"/>
        <w:jc w:val="center"/>
      </w:pPr>
      <w:r>
        <w:drawing>
          <wp:inline distT="0" distB="0" distL="0" distR="0">
            <wp:extent cx="4381500" cy="55721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CD94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4 实体-联系图</w:t>
      </w:r>
    </w:p>
    <w:p w14:paraId="4504AC65">
      <w:pPr>
        <w:pStyle w:val="3"/>
        <w:spacing w:before="120" w:after="120" w:line="460" w:lineRule="auto"/>
        <w:jc w:val="left"/>
      </w:pPr>
      <w:bookmarkStart w:id="20" w:name="_Toc100020"/>
      <w:r>
        <w:rPr>
          <w:rFonts w:ascii="Times New Roman" w:eastAsia="黑体"/>
          <w:b/>
          <w:bCs/>
          <w:color w:val="000000"/>
          <w:sz w:val="28"/>
          <w:szCs w:val="28"/>
        </w:rPr>
        <w:t>3.4 状态转换图</w:t>
      </w:r>
      <w:bookmarkEnd w:id="20"/>
      <w:r>
        <w:commentReference w:id="4"/>
      </w:r>
    </w:p>
    <w:p w14:paraId="46B6ABEB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状态转换图描述了招募对象的生命周期状态变化。招募对象具有四种状态：草稿、有效、已满员和已下架。初始状态为草稿，当学生发布招募后转为有效状态；在有效状态下，若报名成功或队长关闭则转为已满员；若队长删除或到达过期时间则转为已下架。已满员状态下队长可重新开放回到有效状态。该状态图完整地描述了招募从创建到终止的全生命周期。</w:t>
      </w:r>
    </w:p>
    <w:p w14:paraId="52457222">
      <w:pPr>
        <w:spacing w:before="120" w:after="60" w:line="460" w:lineRule="auto"/>
        <w:jc w:val="center"/>
      </w:pPr>
      <w:r>
        <w:drawing>
          <wp:inline distT="0" distB="0" distL="0" distR="0">
            <wp:extent cx="3619500" cy="40481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1517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5 招募状态转换图</w:t>
      </w:r>
    </w:p>
    <w:p w14:paraId="7CE2900E">
      <w:pPr>
        <w:pStyle w:val="3"/>
        <w:spacing w:before="120" w:after="120" w:line="460" w:lineRule="auto"/>
        <w:jc w:val="left"/>
      </w:pPr>
      <w:bookmarkStart w:id="21" w:name="_Toc100021"/>
      <w:r>
        <w:rPr>
          <w:rFonts w:ascii="Times New Roman" w:eastAsia="黑体"/>
          <w:b/>
          <w:bCs/>
          <w:color w:val="000000"/>
          <w:sz w:val="28"/>
          <w:szCs w:val="28"/>
        </w:rPr>
        <w:t>3.5 类图</w:t>
      </w:r>
      <w:bookmarkEnd w:id="21"/>
    </w:p>
    <w:p w14:paraId="1E082224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类图采用BCE（边界-控制-实体）模式组织，将系统类分为三层：边界类（登录页面、竞赛列表、招募表单）负责用户交互；控制类（用户认证、招募管理、证书管理）封装业务逻辑；实体类（用户、学生、导师、竞赛、招募、证书）对应数据模型。学生和导师继承自用户类，招募与学生、竞赛之间存在关联关系，证书与学生之间存在持有关系。该类图为后续的详细设计提供了结构化的类架构基础。</w:t>
      </w:r>
    </w:p>
    <w:p w14:paraId="1A00C9A9">
      <w:pPr>
        <w:spacing w:before="120" w:after="60" w:line="460" w:lineRule="auto"/>
        <w:jc w:val="center"/>
      </w:pPr>
      <w:r>
        <w:drawing>
          <wp:inline distT="0" distB="0" distL="0" distR="0">
            <wp:extent cx="4381500" cy="57435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D6C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6 类图</w:t>
      </w:r>
    </w:p>
    <w:p w14:paraId="5AFAD7D0">
      <w:pPr>
        <w:pStyle w:val="3"/>
        <w:spacing w:before="120" w:after="120" w:line="460" w:lineRule="auto"/>
        <w:jc w:val="left"/>
      </w:pPr>
      <w:bookmarkStart w:id="22" w:name="_Toc100022"/>
      <w:r>
        <w:rPr>
          <w:rFonts w:ascii="Times New Roman" w:eastAsia="黑体"/>
          <w:b/>
          <w:bCs/>
          <w:color w:val="000000"/>
          <w:sz w:val="28"/>
          <w:szCs w:val="28"/>
        </w:rPr>
        <w:t>3.6 顺序图</w:t>
      </w:r>
      <w:bookmarkEnd w:id="22"/>
      <w:r>
        <w:commentReference w:id="5"/>
      </w:r>
    </w:p>
    <w:p w14:paraId="689EBD74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顺序图展示了UC-03上传竞赛证书用例的对象交互过程。学生通过浏览器向服务器发起上传请求，服务器验证文件类型和大小后，将文件上传至对象存储（OSS），并将证书元数据保存到数据库。下载证书时，服务器从数据库查询证书URL，打包为ZIP后返回给浏览器触发下载。异常处理包括文件验证失败时返回错误信息。该顺序图清晰地展示了证书上传与下载的完整交互流程。</w:t>
      </w:r>
    </w:p>
    <w:p w14:paraId="62E898EA">
      <w:pPr>
        <w:spacing w:before="120" w:after="60" w:line="460" w:lineRule="auto"/>
        <w:jc w:val="center"/>
      </w:pPr>
      <w:r>
        <w:drawing>
          <wp:inline distT="0" distB="0" distL="0" distR="0">
            <wp:extent cx="4000500" cy="4572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805B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7 证书上传顺序图</w:t>
      </w:r>
    </w:p>
    <w:p w14:paraId="69F46DCE">
      <w:pPr>
        <w:pStyle w:val="3"/>
        <w:spacing w:before="120" w:after="120" w:line="460" w:lineRule="auto"/>
        <w:jc w:val="left"/>
      </w:pPr>
      <w:bookmarkStart w:id="23" w:name="_Toc100023"/>
      <w:r>
        <w:rPr>
          <w:rFonts w:ascii="Times New Roman" w:eastAsia="黑体"/>
          <w:b/>
          <w:bCs/>
          <w:color w:val="000000"/>
          <w:sz w:val="28"/>
          <w:szCs w:val="28"/>
        </w:rPr>
        <w:t>3.7 包图</w:t>
      </w:r>
      <w:bookmarkEnd w:id="23"/>
      <w:r>
        <w:commentReference w:id="6"/>
      </w:r>
    </w:p>
    <w:p w14:paraId="200579DC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包图展示了系统的分层架构，分为四层：表示层（Web界面）、业务逻辑层（用户认证、信息聚合、队伍匹配、证书管理）、数据访问层（用户、竞赛、招募、证书数据访问）和外部接口层（邮件、GitHub、对象存储接口）。表示层调用业务逻辑层服务，业务逻辑层通过数据访问层操作数据，并调用外部接口层服务。该分层架构体现了关注点分离的设计原则，各层职责清晰，耦合度低，便于独立开发和测试。</w:t>
      </w:r>
    </w:p>
    <w:p w14:paraId="22077491">
      <w:pPr>
        <w:spacing w:before="120" w:after="60" w:line="460" w:lineRule="auto"/>
        <w:jc w:val="center"/>
      </w:pPr>
      <w:r>
        <w:drawing>
          <wp:inline distT="0" distB="0" distL="0" distR="0">
            <wp:extent cx="4191000" cy="11715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86C5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图 8 系统包图</w:t>
      </w:r>
    </w:p>
    <w:p w14:paraId="35DD08E0">
      <w:pPr>
        <w:pStyle w:val="2"/>
        <w:spacing w:before="192" w:after="120" w:line="460" w:lineRule="auto"/>
        <w:jc w:val="center"/>
      </w:pPr>
      <w:bookmarkStart w:id="24" w:name="_Toc100024"/>
      <w:r>
        <w:rPr>
          <w:rFonts w:ascii="Times New Roman" w:eastAsia="黑体"/>
          <w:b/>
          <w:bCs/>
          <w:color w:val="000000"/>
          <w:sz w:val="36"/>
          <w:szCs w:val="36"/>
        </w:rPr>
        <w:t>4 需求可追踪性</w:t>
      </w:r>
      <w:bookmarkEnd w:id="24"/>
    </w:p>
    <w:p w14:paraId="4980107B">
      <w:pPr>
        <w:keepNext w:val="0"/>
        <w:spacing w:line="460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下表将高优先级需求与用例、分析模型元素进行映射，确保每个需求都可以追溯到具体的分析模型，保证需求的完整性和一致性。通过需求可追踪性矩阵，可以验证每个高优先级需求都有对应的用例和分析模型支撑，避免需求遗漏或分析不充分的问题。</w:t>
      </w:r>
    </w:p>
    <w:tbl>
      <w:tblPr>
        <w:tblStyle w:val="15"/>
        <w:tblW w:w="5000" w:type="pct"/>
        <w:tblInd w:w="0" w:type="dxa"/>
        <w:tblBorders>
          <w:top w:val="single" w:color="000000" w:sz="2" w:space="0"/>
          <w:left w:val="none" w:color="FFFFFF" w:sz="0" w:space="0"/>
          <w:bottom w:val="single" w:color="000000" w:sz="2" w:space="0"/>
          <w:right w:val="none" w:color="FFFFFF" w:sz="0" w:space="0"/>
          <w:insideH w:val="single" w:color="000000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6"/>
        <w:gridCol w:w="2007"/>
        <w:gridCol w:w="1312"/>
        <w:gridCol w:w="1974"/>
        <w:gridCol w:w="1319"/>
        <w:gridCol w:w="936"/>
      </w:tblGrid>
      <w:tr w14:paraId="1FA1B2A5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A15CF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22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18232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需求描述</w:t>
            </w:r>
          </w:p>
        </w:tc>
        <w:tc>
          <w:tcPr>
            <w:tcW w:w="14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8290D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对应用例</w:t>
            </w:r>
          </w:p>
        </w:tc>
        <w:tc>
          <w:tcPr>
            <w:tcW w:w="20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FF00B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对应类</w:t>
            </w:r>
          </w:p>
        </w:tc>
        <w:tc>
          <w:tcPr>
            <w:tcW w:w="14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E152E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对应数据流</w:t>
            </w:r>
          </w:p>
        </w:tc>
        <w:tc>
          <w:tcPr>
            <w:tcW w:w="10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B0516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对应状态图</w:t>
            </w:r>
          </w:p>
        </w:tc>
      </w:tr>
      <w:tr w14:paraId="148C459B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03BCF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R-H-01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C60EC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用户注册登录及角色划分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96D3A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UC-01前置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43544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UserAuth, User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B21D3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登录数据流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A68BA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无</w:t>
            </w:r>
          </w:p>
        </w:tc>
      </w:tr>
      <w:tr w14:paraId="65A19CF5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D5F46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R-H-02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54813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科研/竞赛基本信息展示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D96C1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UC-01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AE935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Competition, InfoAggregation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ABD23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浏览数据流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FC7E4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无</w:t>
            </w:r>
          </w:p>
        </w:tc>
      </w:tr>
      <w:tr w14:paraId="2C8E2CEF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29316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R-H-03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1B6AE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发起组队招募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E9C87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UC-02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14F31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Recruit, RecruitManager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F6B73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发布招募DFD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17A0E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招募状态图</w:t>
            </w:r>
          </w:p>
        </w:tc>
      </w:tr>
      <w:tr w14:paraId="4771FB53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9C535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R-H-04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E1101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发布科研招募及申请功能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4399F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UC-03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68D38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Research, Application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8F296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科研发布DFD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FAB27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无</w:t>
            </w:r>
          </w:p>
        </w:tc>
      </w:tr>
    </w:tbl>
    <w:p w14:paraId="771A0083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表 5 需求可追踪性矩阵</w:t>
      </w:r>
    </w:p>
    <w:p w14:paraId="2E0CC114">
      <w:pPr>
        <w:pStyle w:val="2"/>
        <w:spacing w:before="192" w:after="120" w:line="460" w:lineRule="auto"/>
        <w:jc w:val="center"/>
      </w:pPr>
      <w:bookmarkStart w:id="25" w:name="_Toc100025"/>
      <w:r>
        <w:rPr>
          <w:rFonts w:ascii="Times New Roman" w:eastAsia="黑体"/>
          <w:b/>
          <w:bCs/>
          <w:color w:val="000000"/>
          <w:sz w:val="36"/>
          <w:szCs w:val="36"/>
        </w:rPr>
        <w:t>参考文献</w:t>
      </w:r>
      <w:bookmarkEnd w:id="25"/>
    </w:p>
    <w:p w14:paraId="389E28CC">
      <w:pPr>
        <w:keepNext w:val="0"/>
        <w:spacing w:line="460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[1] ISO/IEC/IEEE 29148:2018, Systems and software engineering — Life cycle processes — Requirements engineering.</w:t>
      </w:r>
    </w:p>
    <w:p w14:paraId="474F44D0">
      <w:pPr>
        <w:keepNext w:val="0"/>
        <w:spacing w:line="460" w:lineRule="auto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[2] 武汉大学计算机学院. 本科生课程设计报告书写印制规范（修订版）, 2019.</w:t>
      </w:r>
    </w:p>
    <w:p w14:paraId="401089D6">
      <w:pPr>
        <w:pStyle w:val="2"/>
        <w:spacing w:before="192" w:after="120" w:line="460" w:lineRule="auto"/>
        <w:jc w:val="center"/>
      </w:pPr>
      <w:bookmarkStart w:id="26" w:name="_Toc100026"/>
      <w:r>
        <w:rPr>
          <w:rFonts w:ascii="Times New Roman" w:eastAsia="黑体"/>
          <w:b/>
          <w:bCs/>
          <w:color w:val="000000"/>
          <w:sz w:val="36"/>
          <w:szCs w:val="36"/>
        </w:rPr>
        <w:t>附录</w:t>
      </w:r>
      <w:bookmarkEnd w:id="26"/>
    </w:p>
    <w:p w14:paraId="6C42903C">
      <w:pPr>
        <w:pStyle w:val="3"/>
        <w:spacing w:before="120" w:after="120" w:line="460" w:lineRule="auto"/>
        <w:jc w:val="left"/>
      </w:pPr>
      <w:bookmarkStart w:id="27" w:name="_Toc100027"/>
      <w:r>
        <w:rPr>
          <w:rFonts w:ascii="Times New Roman" w:eastAsia="黑体"/>
          <w:b/>
          <w:bCs/>
          <w:color w:val="000000"/>
          <w:sz w:val="28"/>
          <w:szCs w:val="28"/>
        </w:rPr>
        <w:t>附录A：团队分工说明</w:t>
      </w:r>
      <w:bookmarkEnd w:id="27"/>
    </w:p>
    <w:tbl>
      <w:tblPr>
        <w:tblStyle w:val="15"/>
        <w:tblW w:w="5000" w:type="pct"/>
        <w:tblInd w:w="0" w:type="dxa"/>
        <w:tblBorders>
          <w:top w:val="single" w:color="000000" w:sz="2" w:space="0"/>
          <w:left w:val="none" w:color="FFFFFF" w:sz="0" w:space="0"/>
          <w:bottom w:val="single" w:color="000000" w:sz="2" w:space="0"/>
          <w:right w:val="none" w:color="FFFFFF" w:sz="0" w:space="0"/>
          <w:insideH w:val="single" w:color="000000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1"/>
        <w:gridCol w:w="5773"/>
      </w:tblGrid>
      <w:tr w14:paraId="3A967BBD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E3258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成员</w:t>
            </w:r>
          </w:p>
        </w:tc>
        <w:tc>
          <w:tcPr>
            <w:tcW w:w="6000" w:type="dxa"/>
            <w:shd w:val="clear" w:color="auto" w:fill="F5F7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2F6B4">
            <w:pPr>
              <w:spacing w:line="460" w:lineRule="auto"/>
              <w:jc w:val="center"/>
            </w:pPr>
            <w:r>
              <w:rPr>
                <w:rFonts w:ascii="Times New Roman" w:eastAsia="宋体"/>
                <w:b/>
                <w:bCs/>
                <w:color w:val="000000"/>
                <w:sz w:val="24"/>
                <w:szCs w:val="24"/>
              </w:rPr>
              <w:t>负责的分析模型</w:t>
            </w:r>
          </w:p>
        </w:tc>
      </w:tr>
      <w:tr w14:paraId="4CAC00FE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14:paraId="2B6A7A0F">
            <w:pPr>
              <w:spacing w:line="360" w:lineRule="auto"/>
              <w:jc w:val="center"/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崔啸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7368B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用例场景描述(UC-01)、ER图、包图</w:t>
            </w:r>
          </w:p>
        </w:tc>
      </w:tr>
      <w:tr w14:paraId="05DF2E16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14:paraId="18A83492">
            <w:pPr>
              <w:spacing w:line="360" w:lineRule="auto"/>
              <w:jc w:val="center"/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胡文锦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BDFBF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用例场景描述(UC-02)、状态转换图</w:t>
            </w:r>
          </w:p>
        </w:tc>
      </w:tr>
      <w:tr w14:paraId="04577376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14:paraId="4F8AB753">
            <w:pPr>
              <w:spacing w:line="360" w:lineRule="auto"/>
              <w:jc w:val="center"/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余乐洲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A8640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用例场景描述(UC-03)、类图</w:t>
            </w:r>
          </w:p>
        </w:tc>
      </w:tr>
      <w:tr w14:paraId="18B29970">
        <w:tblPrEx>
          <w:tblBorders>
            <w:top w:val="single" w:color="000000" w:sz="2" w:space="0"/>
            <w:left w:val="none" w:color="FFFFFF" w:sz="0" w:space="0"/>
            <w:bottom w:val="single" w:color="000000" w:sz="2" w:space="0"/>
            <w:right w:val="none" w:color="FFFFFF" w:sz="0" w:space="0"/>
            <w:insideH w:val="single" w:color="000000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14:paraId="69BCE8D8">
            <w:pPr>
              <w:spacing w:line="360" w:lineRule="auto"/>
              <w:jc w:val="center"/>
            </w:pPr>
            <w:r>
              <w:rPr>
                <w:rFonts w:hint="eastAsia"/>
                <w:color w:val="000000"/>
                <w:sz w:val="30"/>
                <w:szCs w:val="30"/>
                <w:lang w:val="en-US" w:eastAsia="zh-CN"/>
              </w:rPr>
              <w:t>林子昊</w:t>
            </w:r>
          </w:p>
        </w:tc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08127">
            <w:pPr>
              <w:spacing w:line="4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4"/>
                <w:szCs w:val="24"/>
              </w:rPr>
              <w:t>数据流图与数据字典、顺序图</w:t>
            </w:r>
          </w:p>
        </w:tc>
      </w:tr>
    </w:tbl>
    <w:p w14:paraId="1C4F6CFE">
      <w:pPr>
        <w:spacing w:before="60" w:after="120" w:line="460" w:lineRule="auto"/>
        <w:jc w:val="center"/>
      </w:pPr>
      <w:r>
        <w:rPr>
          <w:rFonts w:ascii="Times New Roman" w:eastAsia="宋体"/>
          <w:color w:val="333333"/>
          <w:sz w:val="21"/>
          <w:szCs w:val="21"/>
        </w:rPr>
        <w:t>表 6 团队分工</w:t>
      </w:r>
    </w:p>
    <w:sectPr>
      <w:headerReference r:id="rId7" w:type="default"/>
      <w:footerReference r:id="rId8" w:type="default"/>
      <w:pgSz w:w="11906" w:h="16838"/>
      <w:pgMar w:top="1417" w:right="1701" w:bottom="1134" w:left="1701" w:header="708" w:footer="708" w:gutter="0"/>
      <w:pgNumType w:fmt="decimal"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黎宇恒" w:date="2026-05-15T22:07:21Z" w:initials="">
    <w:p w14:paraId="6AC0B67E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如下图，我打开后是这个结构，导致你们的这个封面变成了两页，上部分还有挺多空白的，这个结构还是有点不太符合规范，封面还是尽量控制在一页</w:t>
      </w:r>
    </w:p>
    <w:p w14:paraId="6196841A">
      <w:pPr>
        <w:pStyle w:val="8"/>
      </w:pPr>
      <w:bookmarkStart w:id="28" w:name="_GoBack"/>
      <w:r>
        <w:drawing>
          <wp:inline distT="0" distB="0" distL="114300" distR="114300">
            <wp:extent cx="5397500" cy="2337435"/>
            <wp:effectExtent l="0" t="0" r="3175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8"/>
    </w:p>
  </w:comment>
  <w:comment w:id="1" w:author="黎宇恒" w:date="2026-05-15T21:28:08Z" w:initials="">
    <w:p w14:paraId="0485B766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项目的背景、目的很清晰，同时也对出现的名词进行了较为详细的解释，这个部分挺不错的</w:t>
      </w:r>
    </w:p>
  </w:comment>
  <w:comment w:id="2" w:author="黎宇恒" w:date="2026-05-15T21:27:22Z" w:initials="">
    <w:p w14:paraId="745130EF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表格规范是跨页需要写续表，这个后续的文档中需要注意</w:t>
      </w:r>
    </w:p>
  </w:comment>
  <w:comment w:id="3" w:author="黎宇恒" w:date="2026-05-15T21:32:34Z" w:initials="">
    <w:p w14:paraId="5EC8B195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ER图缺少数量对应关系（1：1，1;N），而且这个图是不是不太像ER图，图贴错了吗？和你们后面的类图怎么长一样的</w:t>
      </w:r>
    </w:p>
  </w:comment>
  <w:comment w:id="4" w:author="黎宇恒" w:date="2026-05-15T21:55:48Z" w:initials="">
    <w:p w14:paraId="763CFD92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可以增加草稿状态下被删除直接走向终结状态的线路</w:t>
      </w:r>
    </w:p>
  </w:comment>
  <w:comment w:id="5" w:author="黎宇恒" w:date="2026-05-15T22:03:55Z" w:initials="">
    <w:p w14:paraId="29CCCC7A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顺序图画的挺详细的，</w:t>
      </w:r>
      <w:r>
        <w:rPr>
          <w:rFonts w:ascii="宋体" w:hAnsi="宋体" w:eastAsia="宋体" w:cs="宋体"/>
          <w:sz w:val="24"/>
          <w:szCs w:val="24"/>
        </w:rPr>
        <w:t>完整覆盖了证书上传和下载两个核心场景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/>
          <w:lang w:val="en-US" w:eastAsia="zh-CN"/>
        </w:rPr>
        <w:t>事件的生命周期也体现的不错</w:t>
      </w:r>
    </w:p>
  </w:comment>
  <w:comment w:id="6" w:author="黎宇恒" w:date="2026-05-15T22:00:27Z" w:initials="">
    <w:p w14:paraId="52670C1F">
      <w:pPr>
        <w:pStyle w:val="8"/>
      </w:pPr>
      <w:r>
        <w:rPr>
          <w:rFonts w:hint="eastAsia"/>
          <w:lang w:val="en-US" w:eastAsia="zh-CN"/>
        </w:rPr>
        <w:t>图中使用了普通的单向箭头表示依赖，但 UML 规范中，包与包之间的依赖关系应该用虚线箭头表示。实线箭头通常用于表示泛化（继承）或实现关系，不适合用来表示 “调用 / 依赖”，容易造成误解。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196841A" w15:done="0"/>
  <w15:commentEx w15:paraId="0485B766" w15:done="0"/>
  <w15:commentEx w15:paraId="745130EF" w15:done="0"/>
  <w15:commentEx w15:paraId="5EC8B195" w15:done="0"/>
  <w15:commentEx w15:paraId="763CFD92" w15:done="0"/>
  <w15:commentEx w15:paraId="29CCCC7A" w15:done="0"/>
  <w15:commentEx w15:paraId="52670C1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42A6F">
    <w:pPr>
      <w:jc w:val="center"/>
    </w:pPr>
    <w:r>
      <w:rPr>
        <w:rFonts w:ascii="Times New Roman" w:eastAsia="宋体"/>
        <w:sz w:val="21"/>
        <w:szCs w:val="21"/>
      </w:rPr>
      <w:fldChar w:fldCharType="begin"/>
    </w:r>
    <w:r>
      <w:rPr>
        <w:rFonts w:ascii="Times New Roman" w:eastAsia="宋体"/>
        <w:sz w:val="21"/>
        <w:szCs w:val="21"/>
      </w:rPr>
      <w:instrText xml:space="preserve"> PAGE \* ROMAN </w:instrText>
    </w:r>
    <w:r>
      <w:rPr>
        <w:rFonts w:ascii="Times New Roman" w:eastAsia="宋体"/>
        <w:sz w:val="21"/>
        <w:szCs w:val="21"/>
      </w:rPr>
      <w:fldChar w:fldCharType="separate"/>
    </w:r>
    <w:r>
      <w:rPr>
        <w:rFonts w:ascii="Times New Roman" w:eastAsia="宋体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ADC34">
    <w:pPr>
      <w:jc w:val="center"/>
    </w:pPr>
    <w:r>
      <w:rPr>
        <w:rFonts w:ascii="Times New Roman" w:eastAsia="宋体"/>
        <w:sz w:val="21"/>
        <w:szCs w:val="21"/>
      </w:rPr>
      <w:fldChar w:fldCharType="begin"/>
    </w:r>
    <w:r>
      <w:rPr>
        <w:rFonts w:ascii="Times New Roman" w:eastAsia="宋体"/>
        <w:sz w:val="21"/>
        <w:szCs w:val="21"/>
      </w:rPr>
      <w:instrText xml:space="preserve"> PAGE \* arabic </w:instrText>
    </w:r>
    <w:r>
      <w:rPr>
        <w:rFonts w:ascii="Times New Roman" w:eastAsia="宋体"/>
        <w:sz w:val="21"/>
        <w:szCs w:val="21"/>
      </w:rPr>
      <w:fldChar w:fldCharType="separate"/>
    </w:r>
    <w:r>
      <w:rPr>
        <w:rFonts w:ascii="Times New Roman" w:eastAsia="宋体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F97C1">
    <w:pPr>
      <w:jc w:val="center"/>
    </w:pPr>
    <w:r>
      <w:rPr>
        <w:rFonts w:ascii="Times New Roman" w:eastAsia="宋体"/>
        <w:color w:val="888888"/>
        <w:sz w:val="21"/>
        <w:szCs w:val="21"/>
      </w:rPr>
      <w:t>星轨平台需求规格说明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066CC">
    <w:pPr>
      <w:jc w:val="center"/>
    </w:pPr>
    <w:r>
      <w:rPr>
        <w:rFonts w:ascii="Times New Roman" w:eastAsia="宋体"/>
        <w:color w:val="888888"/>
        <w:sz w:val="21"/>
        <w:szCs w:val="21"/>
      </w:rPr>
      <w:t>星轨平台需求规格说明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黎宇恒">
    <w15:presenceInfo w15:providerId="WPS Office" w15:userId="56868349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5CC4E5C"/>
    <w:rsid w:val="584C0F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192" w:after="120" w:line="460" w:lineRule="auto"/>
      <w:jc w:val="center"/>
      <w:outlineLvl w:val="0"/>
    </w:pPr>
    <w:rPr>
      <w:rFonts w:ascii="Times New Roman" w:eastAsia="黑体" w:hAnsiTheme="minorHAnsi" w:cstheme="minorBidi"/>
      <w:b/>
      <w:bCs/>
      <w:color w:val="000000"/>
      <w:sz w:val="36"/>
      <w:szCs w:val="36"/>
    </w:rPr>
  </w:style>
  <w:style w:type="paragraph" w:styleId="3">
    <w:name w:val="heading 2"/>
    <w:next w:val="1"/>
    <w:qFormat/>
    <w:uiPriority w:val="0"/>
    <w:pPr>
      <w:spacing w:before="120" w:after="120" w:line="460" w:lineRule="auto"/>
      <w:outlineLvl w:val="1"/>
    </w:pPr>
    <w:rPr>
      <w:rFonts w:ascii="Times New Roman" w:eastAsia="黑体" w:hAnsiTheme="minorHAnsi" w:cstheme="minorBidi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 w:line="460" w:lineRule="auto"/>
      <w:outlineLvl w:val="2"/>
    </w:pPr>
    <w:rPr>
      <w:rFonts w:ascii="Times New Roman" w:eastAsia="黑体" w:hAnsiTheme="minorHAnsi" w:cstheme="minorBidi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line="460" w:lineRule="auto"/>
      <w:outlineLvl w:val="3"/>
    </w:pPr>
    <w:rPr>
      <w:rFonts w:ascii="Times New Roman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460" w:lineRule="auto"/>
      <w:outlineLvl w:val="4"/>
    </w:pPr>
    <w:rPr>
      <w:rFonts w:ascii="Times New Roman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460" w:lineRule="auto"/>
      <w:outlineLvl w:val="5"/>
    </w:pPr>
    <w:rPr>
      <w:rFonts w:ascii="Times New Roman" w:eastAsia="宋体" w:hAnsiTheme="minorHAnsi" w:cstheme="minorBidi"/>
      <w:color w:val="1F4D78"/>
      <w:sz w:val="24"/>
      <w:szCs w:val="24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toc 3"/>
    <w:uiPriority w:val="39"/>
    <w:pPr>
      <w:tabs>
        <w:tab w:val="right" w:leader="dot" w:pos="9026"/>
      </w:tabs>
      <w:spacing w:before="40" w:after="20" w:line="460" w:lineRule="auto"/>
      <w:ind w:left="720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10">
    <w:name w:val="endnote text"/>
    <w:link w:val="23"/>
    <w:semiHidden/>
    <w:unhideWhenUsed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before="120" w:after="60" w:line="460" w:lineRule="auto"/>
    </w:pPr>
    <w:rPr>
      <w:rFonts w:ascii="Times New Roman" w:eastAsia="宋体" w:hAnsiTheme="minorHAnsi" w:cstheme="minorBidi"/>
      <w:b/>
      <w:bCs/>
      <w:color w:val="000000"/>
      <w:sz w:val="24"/>
      <w:szCs w:val="24"/>
    </w:rPr>
  </w:style>
  <w:style w:type="paragraph" w:styleId="12">
    <w:name w:val="footnote text"/>
    <w:link w:val="22"/>
    <w:semiHidden/>
    <w:unhideWhenUsed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3">
    <w:name w:val="toc 2"/>
    <w:uiPriority w:val="39"/>
    <w:pPr>
      <w:tabs>
        <w:tab w:val="right" w:leader="dot" w:pos="9026"/>
      </w:tabs>
      <w:spacing w:before="60" w:after="40" w:line="460" w:lineRule="auto"/>
      <w:ind w:left="360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14">
    <w:name w:val="Title"/>
    <w:qFormat/>
    <w:uiPriority w:val="0"/>
    <w:pPr>
      <w:spacing w:line="460" w:lineRule="auto"/>
    </w:pPr>
    <w:rPr>
      <w:rFonts w:ascii="Times New Roman" w:eastAsia="宋体" w:hAnsiTheme="minorHAnsi" w:cstheme="minorBidi"/>
      <w:color w:val="000000"/>
      <w:sz w:val="56"/>
      <w:szCs w:val="56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paragraph" w:styleId="21">
    <w:name w:val="List Paragraph"/>
    <w:qFormat/>
    <w:uiPriority w:val="0"/>
    <w:pPr>
      <w:spacing w:line="460" w:lineRule="auto"/>
    </w:pPr>
    <w:rPr>
      <w:rFonts w:ascii="Times New Roman" w:eastAsia="宋体" w:hAnsiTheme="minorHAnsi" w:cstheme="minorBidi"/>
      <w:color w:val="000000"/>
      <w:sz w:val="24"/>
      <w:szCs w:val="24"/>
    </w:rPr>
  </w:style>
  <w:style w:type="character" w:customStyle="1" w:styleId="22">
    <w:name w:val="Footnote Text Char"/>
    <w:link w:val="12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0"/>
    <w:semiHidden/>
    <w:unhideWhenUsed/>
    <w:qFormat/>
    <w:uiPriority w:val="99"/>
    <w:rPr>
      <w:sz w:val="20"/>
      <w:szCs w:val="20"/>
    </w:rPr>
  </w:style>
</w:style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4234</Words>
  <Characters>4865</Characters>
  <TotalTime>51</TotalTime>
  <ScaleCrop>false</ScaleCrop>
  <LinksUpToDate>false</LinksUpToDate>
  <CharactersWithSpaces>5040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2026-05-06T12:22:00Z</dcterms:created>
  <dc:creator>Un-named</dc:creator>
  <cp:lastModifiedBy>黎宇恒</cp:lastModifiedBy>
  <dcterms:modified xsi:type="dcterms:W3CDTF">2026-05-15T14:09:49Z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eyJoZGlkIjoiOTc1MjFiYTk1NGYyN2Q0YzMyNzczNmI5MmQwZWZhMzgiLCJ1c2VySWQiOiIxNjg0OTI1NzQ3In0=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277D6DFD6C804739B01BA8A18B5B9620_12</vt:lpwstr>
  </property>
</Properties>
</file>