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jpg" ContentType="image/jpeg"/>
  <Override PartName="/word/media/rId54.jpg" ContentType="image/jpeg"/>
  <Override PartName="/word/media/rId30.jpg" ContentType="image/jpeg"/>
  <Override PartName="/word/media/rId62.jpg" ContentType="image/jpeg"/>
  <Override PartName="/word/media/rId26.jpg" ContentType="image/jpeg"/>
  <Override PartName="/word/media/rId58.jpg" ContentType="image/jpeg"/>
  <Override PartName="/word/media/rId5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Агеева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1032212304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изучение алгоритмов целочисленной арифметики многократной точности.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алгоритм сложения неотрицательных чисел;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алгоритм вычитания неотрицательных чисел;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алгоритм умножения неотрицательных целых чисел столбиком;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алгоритм умножения</w:t>
      </w:r>
      <w:r>
        <w:t xml:space="preserve"> </w:t>
      </w:r>
      <w:r>
        <w:t xml:space="preserve">“</w:t>
      </w:r>
      <w:r>
        <w:t xml:space="preserve">быстрый столбик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алгоритм деления многоразрядных целых чисел.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Длинная арифметика</w:t>
      </w:r>
      <w:r>
        <w:t xml:space="preserve"> </w:t>
      </w:r>
      <w:r>
        <w:t xml:space="preserve">[1]</w:t>
      </w:r>
      <w:r>
        <w:t xml:space="preserve"> </w:t>
      </w:r>
      <w:r>
        <w:t xml:space="preserve">— выполняемые с помощью вычислительной машины арифметические операции (сложение, вычитание, умножение, деление, возведение в степень, элементарные функции) над числами, разрядность которых превышает длину машинного слова данной вычислительной машины. Эти операции реализуются не аппаратно, а программно, с использованием базовых аппаратных средств работы с числами меньших порядков. Частный случай — арифметика произвольной точности — относится к арифметике, в которой длина чисел ограничена только объёмом доступной памяти.</w:t>
      </w:r>
    </w:p>
    <w:bookmarkStart w:id="22" w:name="примен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Применение</w:t>
      </w:r>
    </w:p>
    <w:p>
      <w:pPr>
        <w:pStyle w:val="FirstParagraph"/>
      </w:pPr>
      <w:r>
        <w:t xml:space="preserve">Длинная арифметика применяется в следующих областях:</w:t>
      </w:r>
    </w:p>
    <w:p>
      <w:pPr>
        <w:numPr>
          <w:ilvl w:val="0"/>
          <w:numId w:val="1002"/>
        </w:numPr>
        <w:pStyle w:val="Compact"/>
      </w:pPr>
      <w:r>
        <w:t xml:space="preserve">составление кода для процессоров (микроконтроллеров) низкой разрядности. Например, микроконтроллеры серии AVR имеют АЦП с разрядностью 10 бит и регистры с разрядностью 8 бит. Этого недостаточно для обработки информации с АЦП; без длинной арифметики не обойтись;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криптография</w:t>
      </w:r>
      <w:r>
        <w:t xml:space="preserve">. Большинство систем подписывания и шифрования данных используют целочисленную арифметику по модулю m, где m — очень большое натуральное число, не обязательно простое. Например, при реализации метода шифрования RSA, криптосистемы Рабина или схемы Эль-Гамаля требуется обеспечить точность результатов умножения и возведения в степень порядка 10309;</w:t>
      </w:r>
    </w:p>
    <w:p>
      <w:pPr>
        <w:numPr>
          <w:ilvl w:val="0"/>
          <w:numId w:val="1002"/>
        </w:numPr>
        <w:pStyle w:val="Compact"/>
      </w:pPr>
      <w:r>
        <w:t xml:space="preserve">математическое (см. список ПО) и финансовое ПО. Результат вычисления на бумаге должен совпадать с результатом работы компьютера с точностью до последнего разряда. В частности, калькулятор Windows (начиная с Windows 95) проводит четыре арифметических действия с намного большей точностью, чем позволяет процессор x86. Для научных и инженерных расчётов длинная арифметика применяется редко, так как ошибки во входных данных обычно намного больше, чем ошибки округления;</w:t>
      </w:r>
    </w:p>
    <w:p>
      <w:pPr>
        <w:numPr>
          <w:ilvl w:val="0"/>
          <w:numId w:val="1002"/>
        </w:numPr>
        <w:pStyle w:val="Compact"/>
      </w:pPr>
      <w:r>
        <w:t xml:space="preserve">стандартная тема в спортивном программировании.</w:t>
      </w:r>
    </w:p>
    <w:bookmarkEnd w:id="22"/>
    <w:bookmarkStart w:id="23" w:name="Xf0cdbe739f7e34b1a1438d820ac5b4d95fd0f0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Необходимые аппаратные средства для работы с длинной арифметикой</w:t>
      </w:r>
    </w:p>
    <w:p>
      <w:pPr>
        <w:pStyle w:val="FirstParagraph"/>
      </w:pPr>
      <w:r>
        <w:t xml:space="preserve">Строго говоря, для реализации арифметики произвольной точности от процессора требуется лишь косвенная адресация; в арифметике фиксированной точности можно обойтись даже без неё. Тем не менее, определённые функции процессора ускоряют длинную арифметику, одновременно упрощая её программирование.</w:t>
      </w:r>
    </w:p>
    <w:p>
      <w:pPr>
        <w:numPr>
          <w:ilvl w:val="0"/>
          <w:numId w:val="1003"/>
        </w:numPr>
      </w:pPr>
      <w:r>
        <w:t xml:space="preserve">Флаг переноса. Операции «сложить/вычесть с переносом», «циклический сдвиг через бит переноса».</w:t>
      </w:r>
    </w:p>
    <w:p>
      <w:pPr>
        <w:numPr>
          <w:ilvl w:val="0"/>
          <w:numId w:val="1003"/>
        </w:numPr>
      </w:pPr>
      <w:r>
        <w:t xml:space="preserve">Косвенная адресация с автоинкрементом и автодекрементом (индексный регистр после операции увеличивается или уменьшается).</w:t>
      </w:r>
    </w:p>
    <w:p>
      <w:pPr>
        <w:numPr>
          <w:ilvl w:val="0"/>
          <w:numId w:val="1003"/>
        </w:numPr>
      </w:pPr>
      <w:r>
        <w:t xml:space="preserve">Умножение</w:t>
      </w:r>
      <w:r>
        <w:t xml:space="preserve"> </w:t>
      </w:r>
      <m:oMath>
        <m:r>
          <m:t>w</m:t>
        </m:r>
        <m:r>
          <m:t>w</m:t>
        </m:r>
        <m:r>
          <m:rPr>
            <m:sty m:val="p"/>
          </m:rPr>
          <m:t>=</m:t>
        </m:r>
        <m:r>
          <m:t>2</m:t>
        </m:r>
        <m:r>
          <m:t>w</m:t>
        </m:r>
      </m:oMath>
      <w:r>
        <w:t xml:space="preserve"> </w:t>
      </w:r>
      <w:r>
        <w:t xml:space="preserve">(умножение слова на слово, результат — двойное слово), деление</w:t>
      </w:r>
      <w:r>
        <w:t xml:space="preserve"> </w:t>
      </w:r>
      <m:oMath>
        <m:r>
          <m:t>2</m:t>
        </m:r>
        <m:r>
          <m:t>w</m:t>
        </m:r>
        <m:r>
          <m:rPr>
            <m:sty m:val="p"/>
          </m:rPr>
          <m:t>÷</m:t>
        </m:r>
        <m:r>
          <m:t>w</m:t>
        </m:r>
        <m:r>
          <m:rPr>
            <m:sty m:val="p"/>
          </m:rPr>
          <m:t>=</m:t>
        </m:r>
        <m:r>
          <m:t>w</m:t>
        </m:r>
      </m:oMath>
      <w:r>
        <w:t xml:space="preserve"> </w:t>
      </w:r>
      <w:r>
        <w:t xml:space="preserve">(с возможным переполнением).</w:t>
      </w:r>
    </w:p>
    <w:bookmarkEnd w:id="23"/>
    <w:bookmarkStart w:id="24" w:name="реализация-в-языках-программирова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в языках программирования</w:t>
      </w:r>
    </w:p>
    <w:p>
      <w:pPr>
        <w:pStyle w:val="FirstParagraph"/>
      </w:pPr>
      <w:r>
        <w:t xml:space="preserve">Языки программирования имеют встроенные типы данных, размер которых, в основном, не превышает 64 бита (около 1019). Десятичная длинная арифметика была реализована в советских языках программирования АЛМИР-65 на ЭВМ МИР-1 и АНАЛИТИК на ЭВМ МИР-2. Для работы с большими числами, в современных языках программирования существует довольно много готовых оптимизированных библиотек для длинной арифметики.</w:t>
      </w:r>
    </w:p>
    <w:p>
      <w:pPr>
        <w:pStyle w:val="BodyText"/>
      </w:pPr>
      <w:r>
        <w:t xml:space="preserve">Большинство функциональных языков позволяют переключаться с обычной арифметики на длинную без необходимости изменения кода арифметических расчётов. Например, Erlang и Scheme всегда представляют точные числа длинными. В Standard ML реализации всех разновидностей целых чисел определяются на основании сигнатуры INTEGER, позволяя выбирать необходимую размерность,— в том числе присутствует модуль IntInf, реализующий целые числа произвольной точности; в реализации PolyML этот модуль используется по умолчанию.</w:t>
      </w:r>
    </w:p>
    <w:p>
      <w:pPr>
        <w:pStyle w:val="BodyText"/>
      </w:pPr>
      <w:r>
        <w:t xml:space="preserve">Встроенные библиотеки работы с большими числами есть в Ruby, Python и Java.</w:t>
      </w:r>
    </w:p>
    <w:bookmarkEnd w:id="24"/>
    <w:bookmarkEnd w:id="25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Импортирую библиотеку math, которая понадобится для выполнения работы.</w:t>
      </w:r>
      <w:r>
        <w:t xml:space="preserve"> </w:t>
      </w:r>
      <w:bookmarkStart w:id="29" w:name="fig:001"/>
      <w:r>
        <w:drawing>
          <wp:inline>
            <wp:extent cx="5334000" cy="199868"/>
            <wp:effectExtent b="0" l="0" r="0" t="0"/>
            <wp:docPr descr="Импорт библиотеки math" title="" id="27" name="Picture"/>
            <a:graphic>
              <a:graphicData uri="http://schemas.openxmlformats.org/drawingml/2006/picture">
                <pic:pic>
                  <pic:nvPicPr>
                    <pic:cNvPr descr="image/impor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Задам два словаря, которые создают связь между числом и строковым символом (и обратно).</w:t>
      </w:r>
      <w:r>
        <w:t xml:space="preserve"> </w:t>
      </w:r>
      <w:bookmarkStart w:id="33" w:name="fig:002"/>
      <w:r>
        <w:drawing>
          <wp:inline>
            <wp:extent cx="5334000" cy="793282"/>
            <wp:effectExtent b="0" l="0" r="0" t="0"/>
            <wp:docPr descr="Описание словарей" title="" id="31" name="Picture"/>
            <a:graphic>
              <a:graphicData uri="http://schemas.openxmlformats.org/drawingml/2006/picture">
                <pic:pic>
                  <pic:nvPicPr>
                    <pic:cNvPr descr="image/dicts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4"/>
        </w:numPr>
        <w:pStyle w:val="Compact"/>
      </w:pPr>
      <w:r>
        <w:t xml:space="preserve">Задам функцию для перевода числа в десятичную систему счисления.</w:t>
      </w:r>
      <w:r>
        <w:t xml:space="preserve"> </w:t>
      </w:r>
      <w:bookmarkStart w:id="37" w:name="fig:003"/>
      <w:r>
        <w:drawing>
          <wp:inline>
            <wp:extent cx="5334000" cy="869091"/>
            <wp:effectExtent b="0" l="0" r="0" t="0"/>
            <wp:docPr descr="Перевод в десятичную систему счисления" title="" id="35" name="Picture"/>
            <a:graphic>
              <a:graphicData uri="http://schemas.openxmlformats.org/drawingml/2006/picture">
                <pic:pic>
                  <pic:nvPicPr>
                    <pic:cNvPr descr="image/to_10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4"/>
        </w:numPr>
        <w:pStyle w:val="Compact"/>
      </w:pPr>
      <w:r>
        <w:t xml:space="preserve">Задам функцию для перевода числа в систему счисления с основанием</w:t>
      </w:r>
      <w:r>
        <w:t xml:space="preserve"> </w:t>
      </w:r>
      <m:oMath>
        <m:r>
          <m:t>b</m:t>
        </m:r>
      </m:oMath>
      <w:r>
        <w:t xml:space="preserve">.</w:t>
      </w:r>
      <w:r>
        <w:t xml:space="preserve"> </w:t>
      </w:r>
      <w:bookmarkStart w:id="41" w:name="fig:004"/>
      <w:r>
        <w:drawing>
          <wp:inline>
            <wp:extent cx="5334000" cy="1194981"/>
            <wp:effectExtent b="0" l="0" r="0" t="0"/>
            <wp:docPr descr="Перевод в систему счисления с основанием b" title="" id="39" name="Picture"/>
            <a:graphic>
              <a:graphicData uri="http://schemas.openxmlformats.org/drawingml/2006/picture">
                <pic:pic>
                  <pic:nvPicPr>
                    <pic:cNvPr descr="image/to_b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4"/>
        </w:numPr>
        <w:pStyle w:val="Compact"/>
      </w:pPr>
      <w:r>
        <w:t xml:space="preserve">Задам две функции, которые будут удалять или добавлять незначащие нули к числу.</w:t>
      </w:r>
      <w:r>
        <w:t xml:space="preserve"> </w:t>
      </w:r>
      <w:bookmarkStart w:id="45" w:name="fig:005"/>
      <w:r>
        <w:drawing>
          <wp:inline>
            <wp:extent cx="5334000" cy="1245837"/>
            <wp:effectExtent b="0" l="0" r="0" t="0"/>
            <wp:docPr descr="Удаление/добаввление нулей" title="" id="43" name="Picture"/>
            <a:graphic>
              <a:graphicData uri="http://schemas.openxmlformats.org/drawingml/2006/picture">
                <pic:pic>
                  <pic:nvPicPr>
                    <pic:cNvPr descr="image/zeros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4"/>
        </w:numPr>
        <w:pStyle w:val="Compact"/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addition()</w:t>
      </w:r>
      <w:r>
        <w:t xml:space="preserve">, в которой реализовано сложение неотрицательных чисел по алгоритму, представленному в задании к работе.</w:t>
      </w:r>
      <w:r>
        <w:t xml:space="preserve"> </w:t>
      </w:r>
      <w:bookmarkStart w:id="49" w:name="fig:006"/>
      <w:r>
        <w:drawing>
          <wp:inline>
            <wp:extent cx="5334000" cy="2244157"/>
            <wp:effectExtent b="0" l="0" r="0" t="0"/>
            <wp:docPr descr="Сложение" title="" id="47" name="Picture"/>
            <a:graphic>
              <a:graphicData uri="http://schemas.openxmlformats.org/drawingml/2006/picture">
                <pic:pic>
                  <pic:nvPicPr>
                    <pic:cNvPr descr="image/addition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4"/>
        </w:numPr>
        <w:pStyle w:val="Compact"/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substraction()</w:t>
      </w:r>
      <w:r>
        <w:t xml:space="preserve">, в которой реализовано вычитание неотрицательных чисел по алгоритму, представленному в задании к работе.</w:t>
      </w:r>
      <w:r>
        <w:t xml:space="preserve"> </w:t>
      </w:r>
      <w:bookmarkStart w:id="53" w:name="fig:007"/>
      <w:r>
        <w:drawing>
          <wp:inline>
            <wp:extent cx="5334000" cy="2679309"/>
            <wp:effectExtent b="0" l="0" r="0" t="0"/>
            <wp:docPr descr="Вычитание" title="" id="51" name="Picture"/>
            <a:graphic>
              <a:graphicData uri="http://schemas.openxmlformats.org/drawingml/2006/picture">
                <pic:pic>
                  <pic:nvPicPr>
                    <pic:cNvPr descr="image/substraction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4"/>
        </w:numPr>
        <w:pStyle w:val="Compact"/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column_multiply()</w:t>
      </w:r>
      <w:r>
        <w:t xml:space="preserve">, в которой реализовано умножение неотрицательных целых чисел столбиком по алгоритму, представленному в задании к работе.</w:t>
      </w:r>
      <w:r>
        <w:t xml:space="preserve"> </w:t>
      </w:r>
      <w:bookmarkStart w:id="57" w:name="fig:008"/>
      <w:r>
        <w:drawing>
          <wp:inline>
            <wp:extent cx="5334000" cy="2060677"/>
            <wp:effectExtent b="0" l="0" r="0" t="0"/>
            <wp:docPr descr="Умножение столбиком" title="" id="55" name="Picture"/>
            <a:graphic>
              <a:graphicData uri="http://schemas.openxmlformats.org/drawingml/2006/picture">
                <pic:pic>
                  <pic:nvPicPr>
                    <pic:cNvPr descr="image/column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4"/>
        </w:numPr>
        <w:pStyle w:val="Compact"/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quick_multiply()</w:t>
      </w:r>
      <w:r>
        <w:t xml:space="preserve">, в которой реализовано умножение неотрицательных чисел быстрым столбиком по алгоритму, представленному в задании к работе.</w:t>
      </w:r>
      <w:r>
        <w:t xml:space="preserve"> </w:t>
      </w:r>
      <w:bookmarkStart w:id="61" w:name="fig:009"/>
      <w:r>
        <w:drawing>
          <wp:inline>
            <wp:extent cx="5334000" cy="1927687"/>
            <wp:effectExtent b="0" l="0" r="0" t="0"/>
            <wp:docPr descr="Быстрый столбик" title="" id="59" name="Picture"/>
            <a:graphic>
              <a:graphicData uri="http://schemas.openxmlformats.org/drawingml/2006/picture">
                <pic:pic>
                  <pic:nvPicPr>
                    <pic:cNvPr descr="image/quick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4"/>
        </w:numPr>
        <w:pStyle w:val="Compact"/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division()</w:t>
      </w:r>
      <w:r>
        <w:t xml:space="preserve">, в которой реализовано деление многоразрядных целых чисел по алгоритму, представленному в задании к работе.</w:t>
      </w:r>
      <w:r>
        <w:t xml:space="preserve"> </w:t>
      </w:r>
      <w:bookmarkStart w:id="65" w:name="fig:010"/>
      <w:r>
        <w:drawing>
          <wp:inline>
            <wp:extent cx="5334000" cy="3919458"/>
            <wp:effectExtent b="0" l="0" r="0" t="0"/>
            <wp:docPr descr="Деление" title="" id="63" name="Picture"/>
            <a:graphic>
              <a:graphicData uri="http://schemas.openxmlformats.org/drawingml/2006/picture">
                <pic:pic>
                  <pic:nvPicPr>
                    <pic:cNvPr descr="image/division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реализовала программно 5 алгоритмов целочисленной арифметики многократной точности.</w:t>
      </w:r>
    </w:p>
    <w:bookmarkEnd w:id="67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9" w:name="ref-lo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Длинная арифметика</w:t>
      </w:r>
      <w:r>
        <w:t xml:space="preserve"> </w:t>
      </w:r>
      <w:r>
        <w:t xml:space="preserve">[Электронный ресурс]. Википедия, 2019. URL:</w:t>
      </w:r>
      <w:r>
        <w:t xml:space="preserve"> </w:t>
      </w:r>
      <w:hyperlink r:id="rId68">
        <w:r>
          <w:rPr>
            <w:rStyle w:val="Hyperlink"/>
          </w:rPr>
          <w:t xml:space="preserve">https://ru.wikipedia.org/wiki/Длинная_арифметика</w:t>
        </w:r>
      </w:hyperlink>
      <w:r>
        <w:t xml:space="preserve">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jpg" /><Relationship Type="http://schemas.openxmlformats.org/officeDocument/2006/relationships/image" Id="rId54" Target="media/rId54.jpg" /><Relationship Type="http://schemas.openxmlformats.org/officeDocument/2006/relationships/image" Id="rId30" Target="media/rId30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58" Target="media/rId58.jpg" /><Relationship Type="http://schemas.openxmlformats.org/officeDocument/2006/relationships/image" Id="rId50" Target="media/rId5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hyperlink" Id="rId68" Target="https://ru.wikipedia.org/wiki/&#1044;&#1083;&#1080;&#1085;&#1085;&#1072;&#1103;_&#1072;&#1088;&#1080;&#1092;&#1084;&#1077;&#1090;&#1080;&#1082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ru.wikipedia.org/wiki/&#1044;&#1083;&#1080;&#1085;&#1085;&#1072;&#1103;_&#1072;&#1088;&#1080;&#1092;&#1084;&#1077;&#1090;&#1080;&#1082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Целочисленная арифметика многократной точности</dc:title>
  <dc:creator>Студент: Агеева Анастасия Сергеевна, 1032212304; Группа: НФИмд-02-21; Преподаватель: Кулябов Дмитрий Сергеевич,; д-р.ф.-м.н., проф.</dc:creator>
  <dc:language>ru-RU</dc:language>
  <cp:keywords/>
  <dcterms:created xsi:type="dcterms:W3CDTF">2021-12-30T20:13:40Z</dcterms:created>
  <dcterms:modified xsi:type="dcterms:W3CDTF">2021-12-30T20:13:40Z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