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8502" w14:textId="40F99934" w:rsidR="005379A8" w:rsidRDefault="005A7B0D" w:rsidP="00E03DB1">
      <w:pPr>
        <w:spacing w:line="360" w:lineRule="auto"/>
        <w:rPr>
          <w:rFonts w:ascii="Arial" w:hAnsi="Arial" w:cs="Arial"/>
          <w:b/>
        </w:rPr>
      </w:pPr>
      <w:r w:rsidRPr="00E8651A">
        <w:rPr>
          <w:rFonts w:ascii="Arial" w:hAnsi="Arial" w:cs="Arial"/>
          <w:b/>
        </w:rPr>
        <w:t>Evaluating Model and Analysing the Results – Andrew Robinson</w:t>
      </w:r>
    </w:p>
    <w:p w14:paraId="42774066" w14:textId="4F898328" w:rsidR="00B405AA" w:rsidRPr="00E03DB1" w:rsidRDefault="00B405AA" w:rsidP="00E03D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Evaluation Overview</w:t>
      </w:r>
      <w:bookmarkStart w:id="0" w:name="_GoBack"/>
      <w:bookmarkEnd w:id="0"/>
    </w:p>
    <w:p w14:paraId="451AE812" w14:textId="1FB81FBD" w:rsidR="0059110F" w:rsidRDefault="00087843" w:rsidP="0008784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selecting and refining numerous algorithms three </w:t>
      </w:r>
      <w:r w:rsidR="00C85D28">
        <w:rPr>
          <w:rFonts w:ascii="Arial" w:hAnsi="Arial" w:cs="Arial"/>
        </w:rPr>
        <w:t xml:space="preserve">final </w:t>
      </w:r>
      <w:r>
        <w:rPr>
          <w:rFonts w:ascii="Arial" w:hAnsi="Arial" w:cs="Arial"/>
        </w:rPr>
        <w:t>models</w:t>
      </w:r>
      <w:r w:rsidR="00AA0F41">
        <w:rPr>
          <w:rFonts w:ascii="Arial" w:hAnsi="Arial" w:cs="Arial"/>
        </w:rPr>
        <w:t xml:space="preserve"> were selected as the focus of the evaluation</w:t>
      </w:r>
      <w:r>
        <w:rPr>
          <w:rFonts w:ascii="Arial" w:hAnsi="Arial" w:cs="Arial"/>
        </w:rPr>
        <w:t xml:space="preserve">. Pipelines were set up for each model before final refinements were made. Each model </w:t>
      </w:r>
      <w:r w:rsidR="00C85D28">
        <w:rPr>
          <w:rFonts w:ascii="Arial" w:hAnsi="Arial" w:cs="Arial"/>
        </w:rPr>
        <w:t>w</w:t>
      </w:r>
      <w:r w:rsidR="00FD61E2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trained using a</w:t>
      </w:r>
      <w:r w:rsidR="00C85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version of the, previously mentioned, AWID dataset </w:t>
      </w:r>
      <w:r w:rsidR="00FD61E2">
        <w:rPr>
          <w:rFonts w:ascii="Arial" w:hAnsi="Arial" w:cs="Arial"/>
        </w:rPr>
        <w:t>which</w:t>
      </w:r>
      <w:r>
        <w:rPr>
          <w:rFonts w:ascii="Arial" w:hAnsi="Arial" w:cs="Arial"/>
        </w:rPr>
        <w:t xml:space="preserve"> </w:t>
      </w:r>
      <w:r w:rsidR="00C85D28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balanced to show equal numbers of attack and non-attack instances. The models </w:t>
      </w:r>
      <w:r w:rsidR="00C85D28">
        <w:rPr>
          <w:rFonts w:ascii="Arial" w:hAnsi="Arial" w:cs="Arial"/>
        </w:rPr>
        <w:t xml:space="preserve">were then </w:t>
      </w:r>
      <w:r>
        <w:rPr>
          <w:rFonts w:ascii="Arial" w:hAnsi="Arial" w:cs="Arial"/>
        </w:rPr>
        <w:t>evaluated using a</w:t>
      </w:r>
      <w:r w:rsidR="00C85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testing dataset which </w:t>
      </w:r>
      <w:r w:rsidR="00C85D28">
        <w:rPr>
          <w:rFonts w:ascii="Arial" w:hAnsi="Arial" w:cs="Arial"/>
        </w:rPr>
        <w:t>was subjected to</w:t>
      </w:r>
      <w:r>
        <w:rPr>
          <w:rFonts w:ascii="Arial" w:hAnsi="Arial" w:cs="Arial"/>
        </w:rPr>
        <w:t xml:space="preserve"> the same modifications</w:t>
      </w:r>
      <w:r w:rsidR="00C85D28">
        <w:rPr>
          <w:rFonts w:ascii="Arial" w:hAnsi="Arial" w:cs="Arial"/>
        </w:rPr>
        <w:t xml:space="preserve"> and was made up of 40,158 observations (20,079 normal traffic (non-attacks) and 20,079 impersonation attacks)</w:t>
      </w:r>
      <w:r>
        <w:rPr>
          <w:rFonts w:ascii="Arial" w:hAnsi="Arial" w:cs="Arial"/>
        </w:rPr>
        <w:t>.</w:t>
      </w:r>
    </w:p>
    <w:p w14:paraId="41220B3A" w14:textId="3B62B43F" w:rsidR="0059110F" w:rsidRDefault="00C85D28" w:rsidP="00C85D2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order to give a full overview of the performance of each model a number of performance measures have been calculated. </w:t>
      </w:r>
      <w:r w:rsidR="0059110F">
        <w:rPr>
          <w:rFonts w:ascii="Arial" w:hAnsi="Arial" w:cs="Arial"/>
        </w:rPr>
        <w:t xml:space="preserve">The majority of these measures involve calculating the: True Positive (TP) values which show intrusions correctly identified as an attacks; </w:t>
      </w:r>
      <w:r w:rsidR="0059110F" w:rsidRPr="0059110F">
        <w:rPr>
          <w:rFonts w:ascii="Arial" w:hAnsi="Arial" w:cs="Arial"/>
        </w:rPr>
        <w:t xml:space="preserve">True Negative (TN) </w:t>
      </w:r>
      <w:r w:rsidR="0059110F">
        <w:rPr>
          <w:rFonts w:ascii="Arial" w:hAnsi="Arial" w:cs="Arial"/>
        </w:rPr>
        <w:t>values which show n</w:t>
      </w:r>
      <w:r w:rsidR="0059110F" w:rsidRPr="0059110F">
        <w:rPr>
          <w:rFonts w:ascii="Arial" w:hAnsi="Arial" w:cs="Arial"/>
        </w:rPr>
        <w:t>ormal instances correctly identified as non-attack</w:t>
      </w:r>
      <w:r w:rsidR="0059110F">
        <w:rPr>
          <w:rFonts w:ascii="Arial" w:hAnsi="Arial" w:cs="Arial"/>
        </w:rPr>
        <w:t xml:space="preserve">; </w:t>
      </w:r>
      <w:r w:rsidR="0059110F" w:rsidRPr="0059110F">
        <w:rPr>
          <w:rFonts w:ascii="Arial" w:hAnsi="Arial" w:cs="Arial"/>
        </w:rPr>
        <w:t xml:space="preserve">False Positive (FP) </w:t>
      </w:r>
      <w:r w:rsidR="0059110F">
        <w:rPr>
          <w:rFonts w:ascii="Arial" w:hAnsi="Arial" w:cs="Arial"/>
        </w:rPr>
        <w:t>values or n</w:t>
      </w:r>
      <w:r w:rsidR="0059110F" w:rsidRPr="0059110F">
        <w:rPr>
          <w:rFonts w:ascii="Arial" w:hAnsi="Arial" w:cs="Arial"/>
        </w:rPr>
        <w:t>ormal instances incorrectly identified as an attack</w:t>
      </w:r>
      <w:r w:rsidR="0059110F">
        <w:rPr>
          <w:rFonts w:ascii="Arial" w:hAnsi="Arial" w:cs="Arial"/>
        </w:rPr>
        <w:t xml:space="preserve">; and </w:t>
      </w:r>
      <w:r w:rsidR="0059110F" w:rsidRPr="0059110F">
        <w:rPr>
          <w:rFonts w:ascii="Arial" w:hAnsi="Arial" w:cs="Arial"/>
        </w:rPr>
        <w:t xml:space="preserve">False Negative (FN) </w:t>
      </w:r>
      <w:r w:rsidR="0059110F">
        <w:rPr>
          <w:rFonts w:ascii="Arial" w:hAnsi="Arial" w:cs="Arial"/>
        </w:rPr>
        <w:t xml:space="preserve">values showing </w:t>
      </w:r>
      <w:r w:rsidR="0059110F" w:rsidRPr="0059110F">
        <w:rPr>
          <w:rFonts w:ascii="Arial" w:hAnsi="Arial" w:cs="Arial"/>
        </w:rPr>
        <w:t>Intrusions incorrectly identified as non-attack.</w:t>
      </w:r>
      <w:r w:rsidR="0059110F">
        <w:rPr>
          <w:rFonts w:ascii="Arial" w:hAnsi="Arial" w:cs="Arial"/>
        </w:rPr>
        <w:t xml:space="preserve"> These values were obtained from the classification report run on each pipeline.</w:t>
      </w:r>
    </w:p>
    <w:p w14:paraId="27819E7D" w14:textId="3E45B76D" w:rsidR="00C9428F" w:rsidRPr="0059110F" w:rsidRDefault="001C26F3" w:rsidP="0059110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brief summary of each </w:t>
      </w:r>
      <w:r w:rsidR="0059110F">
        <w:rPr>
          <w:rFonts w:ascii="Arial" w:hAnsi="Arial" w:cs="Arial"/>
        </w:rPr>
        <w:t xml:space="preserve">performance </w:t>
      </w:r>
      <w:r>
        <w:rPr>
          <w:rFonts w:ascii="Arial" w:hAnsi="Arial" w:cs="Arial"/>
        </w:rPr>
        <w:t>measure is outlined below:</w:t>
      </w:r>
    </w:p>
    <w:p w14:paraId="5C817F6E" w14:textId="77777777" w:rsidR="000F0C69" w:rsidRDefault="000F0C69" w:rsidP="008A6A1A">
      <w:pPr>
        <w:spacing w:line="360" w:lineRule="auto"/>
        <w:rPr>
          <w:rFonts w:ascii="Arial" w:eastAsiaTheme="minorEastAsia" w:hAnsi="Arial" w:cs="Arial"/>
        </w:rPr>
      </w:pPr>
    </w:p>
    <w:p w14:paraId="1975D638" w14:textId="3E123B80" w:rsidR="0059110F" w:rsidRDefault="0059110F" w:rsidP="008A6A1A">
      <w:pPr>
        <w:spacing w:line="360" w:lineRule="auto"/>
        <w:rPr>
          <w:rFonts w:ascii="Cambria Math" w:hAnsi="Cambria Math" w:cs="Arial"/>
          <w:oMath/>
        </w:rPr>
        <w:sectPr w:rsidR="0059110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3CE75B" w14:textId="4E9DDEB6" w:rsidR="00C9428F" w:rsidRPr="0079740D" w:rsidRDefault="00C9428F" w:rsidP="0079740D">
      <w:pPr>
        <w:spacing w:after="0" w:line="360" w:lineRule="auto"/>
        <w:ind w:left="-1276" w:right="-836" w:firstLine="1"/>
        <w:jc w:val="center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Accuracy (Acc)=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TP+TN</m:t>
              </m:r>
            </m:num>
            <m:den>
              <m:r>
                <w:rPr>
                  <w:rFonts w:ascii="Cambria Math" w:hAnsi="Cambria Math" w:cs="Arial"/>
                </w:rPr>
                <m:t>TP+TN+FP+FN</m:t>
              </m:r>
            </m:den>
          </m:f>
        </m:oMath>
      </m:oMathPara>
    </w:p>
    <w:p w14:paraId="7B4F66B4" w14:textId="6EC60A7F" w:rsidR="00C9428F" w:rsidRPr="0079740D" w:rsidRDefault="00C9428F" w:rsidP="0079740D">
      <w:pPr>
        <w:spacing w:after="0" w:line="360" w:lineRule="auto"/>
        <w:ind w:left="-851" w:right="-836" w:firstLine="1"/>
        <w:jc w:val="center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Detection Rate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Recall</m:t>
              </m: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DR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TP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TP+FN</m:t>
              </m:r>
            </m:den>
          </m:f>
        </m:oMath>
      </m:oMathPara>
    </w:p>
    <w:p w14:paraId="6FA356CA" w14:textId="6CFD759A" w:rsidR="00C9428F" w:rsidRPr="0079740D" w:rsidRDefault="00C9428F" w:rsidP="0079740D">
      <w:pPr>
        <w:spacing w:after="0" w:line="360" w:lineRule="auto"/>
        <w:ind w:left="-851" w:right="-836" w:firstLine="1"/>
        <w:jc w:val="center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Precision=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TP</m:t>
              </m:r>
            </m:num>
            <m:den>
              <m:r>
                <w:rPr>
                  <w:rFonts w:ascii="Cambria Math" w:hAnsi="Cambria Math" w:cs="Arial"/>
                </w:rPr>
                <m:t>TP+FP</m:t>
              </m:r>
            </m:den>
          </m:f>
        </m:oMath>
      </m:oMathPara>
    </w:p>
    <w:p w14:paraId="700BEA79" w14:textId="057CB029" w:rsidR="00C9428F" w:rsidRPr="0079740D" w:rsidRDefault="00C9428F" w:rsidP="0079740D">
      <w:pPr>
        <w:spacing w:after="0" w:line="360" w:lineRule="auto"/>
        <w:ind w:left="-851" w:right="-836" w:firstLine="1"/>
        <w:jc w:val="center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False Alarm Rate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FAR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FP</m:t>
              </m:r>
            </m:num>
            <m:den>
              <m:r>
                <w:rPr>
                  <w:rFonts w:ascii="Cambria Math" w:hAnsi="Cambria Math" w:cs="Arial"/>
                </w:rPr>
                <m:t>TN+FP</m:t>
              </m:r>
            </m:den>
          </m:f>
        </m:oMath>
      </m:oMathPara>
    </w:p>
    <w:p w14:paraId="142F1195" w14:textId="77777777" w:rsidR="00C9428F" w:rsidRPr="0079740D" w:rsidRDefault="00C9428F" w:rsidP="0079740D">
      <w:pPr>
        <w:spacing w:after="0" w:line="240" w:lineRule="auto"/>
        <w:ind w:left="-851" w:right="-836" w:firstLine="1"/>
        <w:jc w:val="center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False Negative Rate=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FNR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FN</m:t>
              </m:r>
            </m:num>
            <m:den>
              <m:r>
                <w:rPr>
                  <w:rFonts w:ascii="Cambria Math" w:hAnsi="Cambria Math" w:cs="Arial"/>
                </w:rPr>
                <m:t>FN+TP</m:t>
              </m:r>
            </m:den>
          </m:f>
        </m:oMath>
      </m:oMathPara>
    </w:p>
    <w:p w14:paraId="6CC22AB6" w14:textId="77777777" w:rsidR="00C9428F" w:rsidRPr="0079740D" w:rsidRDefault="00C9428F" w:rsidP="0079740D">
      <w:pPr>
        <w:spacing w:after="0" w:line="240" w:lineRule="auto"/>
        <w:ind w:left="-851" w:right="-836" w:firstLine="1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F1 Score=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2TP</m:t>
              </m:r>
            </m:num>
            <m:den>
              <m:r>
                <w:rPr>
                  <w:rFonts w:ascii="Cambria Math" w:hAnsi="Cambria Math" w:cs="Arial"/>
                </w:rPr>
                <m:t>2TP+FP+FN</m:t>
              </m:r>
            </m:den>
          </m:f>
        </m:oMath>
      </m:oMathPara>
    </w:p>
    <w:p w14:paraId="3AED9D83" w14:textId="531DBC4E" w:rsidR="00C9428F" w:rsidRPr="0079740D" w:rsidRDefault="00C9428F" w:rsidP="0059110F">
      <w:pPr>
        <w:spacing w:after="0" w:line="360" w:lineRule="auto"/>
        <w:ind w:left="-851" w:right="-836" w:firstLine="1"/>
        <w:jc w:val="center"/>
        <w:rPr>
          <w:rFonts w:ascii="Arial" w:hAnsi="Arial" w:cs="Arial"/>
        </w:rPr>
        <w:sectPr w:rsidR="00C9428F" w:rsidRPr="0079740D" w:rsidSect="0079740D">
          <w:type w:val="continuous"/>
          <w:pgSz w:w="11906" w:h="16838"/>
          <w:pgMar w:top="1440" w:right="2051" w:bottom="1440" w:left="1335" w:header="708" w:footer="708" w:gutter="0"/>
          <w:cols w:num="2" w:space="2"/>
          <w:docGrid w:linePitch="360"/>
        </w:sectPr>
      </w:pPr>
      <m:oMathPara>
        <m:oMath>
          <m:r>
            <w:rPr>
              <w:rFonts w:ascii="Cambria Math" w:hAnsi="Cambria Math" w:cs="Arial"/>
            </w:rPr>
            <m:t>Mcc=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TP × TN</m:t>
                  </m:r>
                </m:e>
              </m:d>
              <m:r>
                <w:rPr>
                  <w:rFonts w:ascii="Cambria Math" w:hAnsi="Cambria Math" w:cs="Arial"/>
                </w:rPr>
                <m:t>-(FP × FN)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TP+FP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TP+FN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TN+FP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×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 xml:space="preserve">TN+FN </m:t>
                      </m:r>
                    </m:e>
                  </m:d>
                </m:e>
              </m:rad>
            </m:den>
          </m:f>
        </m:oMath>
      </m:oMathPara>
    </w:p>
    <w:p w14:paraId="7DF271A9" w14:textId="77777777" w:rsidR="00B502E5" w:rsidRDefault="00B502E5" w:rsidP="00B502E5">
      <w:pPr>
        <w:spacing w:after="0" w:line="360" w:lineRule="auto"/>
        <w:rPr>
          <w:rFonts w:ascii="Arial" w:hAnsi="Arial" w:cs="Arial"/>
        </w:rPr>
      </w:pPr>
    </w:p>
    <w:p w14:paraId="6F7E287E" w14:textId="30890D2E" w:rsidR="00B405AA" w:rsidRPr="00B502E5" w:rsidRDefault="004301E0" w:rsidP="00B405A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addition to the above measures </w:t>
      </w:r>
      <w:r w:rsidR="000F0C69" w:rsidRPr="00B502E5">
        <w:rPr>
          <w:rFonts w:ascii="Arial" w:hAnsi="Arial" w:cs="Arial"/>
        </w:rPr>
        <w:t xml:space="preserve">Time to Build (TTB) </w:t>
      </w:r>
      <w:r w:rsidR="00B405AA">
        <w:rPr>
          <w:rFonts w:ascii="Arial" w:hAnsi="Arial" w:cs="Arial"/>
        </w:rPr>
        <w:t xml:space="preserve">in seconds </w:t>
      </w:r>
      <w:r>
        <w:rPr>
          <w:rFonts w:ascii="Arial" w:hAnsi="Arial" w:cs="Arial"/>
        </w:rPr>
        <w:t xml:space="preserve">will also be calculated for each model. </w:t>
      </w:r>
      <w:r w:rsidR="00B405AA">
        <w:rPr>
          <w:rFonts w:ascii="Arial" w:hAnsi="Arial" w:cs="Arial"/>
        </w:rPr>
        <w:t>In order to maintain a level playing field, all models will be run in the same environment using a mac OS with 1.4 GHz Intel i5 CPU and 8 Gb of RAM. Further</w:t>
      </w:r>
      <w:r w:rsidR="00166C2F">
        <w:rPr>
          <w:rFonts w:ascii="Arial" w:hAnsi="Arial" w:cs="Arial"/>
        </w:rPr>
        <w:t xml:space="preserve">more additional </w:t>
      </w:r>
      <w:r w:rsidR="00B405AA">
        <w:rPr>
          <w:rFonts w:ascii="Arial" w:hAnsi="Arial" w:cs="Arial"/>
        </w:rPr>
        <w:t xml:space="preserve">information on each </w:t>
      </w:r>
      <w:r w:rsidR="00166C2F">
        <w:rPr>
          <w:rFonts w:ascii="Arial" w:hAnsi="Arial" w:cs="Arial"/>
        </w:rPr>
        <w:t xml:space="preserve">performance </w:t>
      </w:r>
      <w:r w:rsidR="00B405AA">
        <w:rPr>
          <w:rFonts w:ascii="Arial" w:hAnsi="Arial" w:cs="Arial"/>
        </w:rPr>
        <w:t>measure</w:t>
      </w:r>
      <w:r w:rsidR="00166C2F">
        <w:rPr>
          <w:rFonts w:ascii="Arial" w:hAnsi="Arial" w:cs="Arial"/>
        </w:rPr>
        <w:t xml:space="preserve"> above</w:t>
      </w:r>
      <w:r w:rsidR="00B405AA">
        <w:rPr>
          <w:rFonts w:ascii="Arial" w:hAnsi="Arial" w:cs="Arial"/>
        </w:rPr>
        <w:t xml:space="preserve"> can be found in the </w:t>
      </w:r>
      <w:proofErr w:type="spellStart"/>
      <w:r w:rsidR="00B405AA" w:rsidRPr="00B502E5">
        <w:rPr>
          <w:rFonts w:ascii="Arial" w:hAnsi="Arial" w:cs="Arial"/>
        </w:rPr>
        <w:t>DEMISe</w:t>
      </w:r>
      <w:proofErr w:type="spellEnd"/>
      <w:r w:rsidR="00B405AA" w:rsidRPr="00B502E5">
        <w:rPr>
          <w:rFonts w:ascii="Arial" w:hAnsi="Arial" w:cs="Arial"/>
        </w:rPr>
        <w:t xml:space="preserve"> Techniques for IoT Intrusion Detection</w:t>
      </w:r>
      <w:r w:rsidR="00B405AA">
        <w:rPr>
          <w:rFonts w:ascii="Arial" w:hAnsi="Arial" w:cs="Arial"/>
        </w:rPr>
        <w:t xml:space="preserve"> paper [2] should it be needed.</w:t>
      </w:r>
    </w:p>
    <w:p w14:paraId="4AAFD8EC" w14:textId="55DF2676" w:rsidR="000F0C69" w:rsidRDefault="000F0C69" w:rsidP="000F0C69">
      <w:pPr>
        <w:spacing w:after="0" w:line="360" w:lineRule="auto"/>
        <w:rPr>
          <w:rFonts w:ascii="Arial" w:hAnsi="Arial" w:cs="Arial"/>
        </w:rPr>
      </w:pPr>
    </w:p>
    <w:p w14:paraId="22A3DCDB" w14:textId="6911A28D" w:rsidR="000F0C69" w:rsidRDefault="000F0C69" w:rsidP="000F0C69">
      <w:pPr>
        <w:spacing w:after="0" w:line="360" w:lineRule="auto"/>
        <w:rPr>
          <w:rFonts w:ascii="Arial" w:hAnsi="Arial" w:cs="Arial"/>
        </w:rPr>
      </w:pPr>
    </w:p>
    <w:p w14:paraId="6495EDA3" w14:textId="66CA6E10" w:rsidR="00B405AA" w:rsidRDefault="00B405AA" w:rsidP="000F0C69">
      <w:pPr>
        <w:spacing w:after="0" w:line="360" w:lineRule="auto"/>
        <w:rPr>
          <w:rFonts w:ascii="Arial" w:hAnsi="Arial" w:cs="Arial"/>
        </w:rPr>
      </w:pPr>
    </w:p>
    <w:p w14:paraId="7EED5292" w14:textId="7185A76B" w:rsidR="00B405AA" w:rsidRDefault="00B405AA" w:rsidP="000F0C69">
      <w:pPr>
        <w:spacing w:after="0" w:line="360" w:lineRule="auto"/>
        <w:rPr>
          <w:rFonts w:ascii="Arial" w:hAnsi="Arial" w:cs="Arial"/>
        </w:rPr>
      </w:pPr>
    </w:p>
    <w:p w14:paraId="42E5C74E" w14:textId="29065B1D" w:rsidR="000F0C69" w:rsidRPr="000F0C69" w:rsidRDefault="00B405AA" w:rsidP="00B405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Results</w:t>
      </w:r>
    </w:p>
    <w:tbl>
      <w:tblPr>
        <w:tblW w:w="9325" w:type="dxa"/>
        <w:jc w:val="center"/>
        <w:tblLook w:val="04A0" w:firstRow="1" w:lastRow="0" w:firstColumn="1" w:lastColumn="0" w:noHBand="0" w:noVBand="1"/>
      </w:tblPr>
      <w:tblGrid>
        <w:gridCol w:w="2463"/>
        <w:gridCol w:w="2210"/>
        <w:gridCol w:w="2410"/>
        <w:gridCol w:w="2242"/>
      </w:tblGrid>
      <w:tr w:rsidR="00AA0F41" w:rsidRPr="00AA0F41" w14:paraId="5A8C72EE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69F6" w14:textId="631BF74C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C6C8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Pipeline 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93EA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Pipeline 2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5DC1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Pipeline 3</w:t>
            </w:r>
          </w:p>
        </w:tc>
      </w:tr>
      <w:tr w:rsidR="00AA0F41" w:rsidRPr="00AA0F41" w14:paraId="42E9BDE3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E8AE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Acc (%)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3B59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99.08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7A88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99.08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8BE6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98.63</w:t>
            </w:r>
          </w:p>
        </w:tc>
      </w:tr>
      <w:tr w:rsidR="00AA0F41" w:rsidRPr="00AA0F41" w14:paraId="73D7809D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844F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DR (Recall) (%)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922F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98.15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D37E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98.15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4804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97.96</w:t>
            </w:r>
          </w:p>
        </w:tc>
      </w:tr>
      <w:tr w:rsidR="00AA0F41" w:rsidRPr="00AA0F41" w14:paraId="626522F7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0BF6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Precision (%)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8D5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139E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9880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99.29</w:t>
            </w:r>
          </w:p>
        </w:tc>
      </w:tr>
      <w:tr w:rsidR="00AA0F41" w:rsidRPr="00AA0F41" w14:paraId="45E3F64C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4DF9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FAR (%)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270B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A5D0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0E14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0.01</w:t>
            </w:r>
          </w:p>
        </w:tc>
      </w:tr>
      <w:tr w:rsidR="00AA0F41" w:rsidRPr="00AA0F41" w14:paraId="7AAB3C04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A410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FNR (%)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ED94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1.85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297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1.85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242A" w14:textId="70EC2A36" w:rsidR="00AA0F41" w:rsidRPr="00AA0F41" w:rsidRDefault="001950CB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2.04</w:t>
            </w:r>
          </w:p>
        </w:tc>
      </w:tr>
      <w:tr w:rsidR="00AA0F41" w:rsidRPr="00AA0F41" w14:paraId="5EACAEB4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60B7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F1 (%)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F850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99.07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F8DE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99.07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3464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98.62</w:t>
            </w:r>
          </w:p>
        </w:tc>
      </w:tr>
      <w:tr w:rsidR="00AA0F41" w:rsidRPr="00AA0F41" w14:paraId="0B17E622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0915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MCC (%)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2E5E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98.17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876B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98.17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E159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97.26</w:t>
            </w:r>
          </w:p>
        </w:tc>
      </w:tr>
      <w:tr w:rsidR="00AA0F41" w:rsidRPr="00AA0F41" w14:paraId="7F0A4588" w14:textId="77777777" w:rsidTr="00AA0F41">
        <w:trPr>
          <w:trHeight w:val="229"/>
          <w:jc w:val="center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4ED0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TTB (seconds)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5EB4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7.24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CA67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7.4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8EEF" w14:textId="77777777" w:rsidR="00AA0F41" w:rsidRPr="00AA0F41" w:rsidRDefault="00AA0F41" w:rsidP="00AA0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AA0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5.57</w:t>
            </w:r>
          </w:p>
        </w:tc>
      </w:tr>
    </w:tbl>
    <w:p w14:paraId="21372077" w14:textId="36E46962" w:rsidR="008A6A1A" w:rsidRDefault="008A6A1A" w:rsidP="00B15AE8">
      <w:pPr>
        <w:spacing w:line="360" w:lineRule="auto"/>
        <w:rPr>
          <w:rFonts w:ascii="Arial" w:hAnsi="Arial" w:cs="Arial"/>
        </w:rPr>
      </w:pPr>
    </w:p>
    <w:p w14:paraId="67810C19" w14:textId="35D81CD0" w:rsidR="00DA0A28" w:rsidRDefault="00B405AA" w:rsidP="008860F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Evaluation – Pipeline 1</w:t>
      </w:r>
    </w:p>
    <w:p w14:paraId="4EDAF3B7" w14:textId="54A06EAF" w:rsidR="008860FD" w:rsidRDefault="00F41B0C" w:rsidP="008860FD">
      <w:pPr>
        <w:spacing w:line="360" w:lineRule="auto"/>
        <w:rPr>
          <w:rFonts w:ascii="Arial" w:hAnsi="Arial" w:cs="Arial"/>
        </w:rPr>
      </w:pPr>
      <w:r w:rsidRPr="009C00C7">
        <w:rPr>
          <w:rFonts w:ascii="Arial" w:hAnsi="Arial" w:cs="Arial"/>
        </w:rPr>
        <w:t xml:space="preserve">Pipeline 1 </w:t>
      </w:r>
      <w:r w:rsidR="009C00C7">
        <w:rPr>
          <w:rFonts w:ascii="Arial" w:hAnsi="Arial" w:cs="Arial"/>
        </w:rPr>
        <w:t>is made up of the following:</w:t>
      </w:r>
    </w:p>
    <w:p w14:paraId="29C31554" w14:textId="2429B90F" w:rsidR="009C00C7" w:rsidRDefault="009C00C7" w:rsidP="009C00C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Variance Threshold is used to remove variables with zero variance.</w:t>
      </w:r>
    </w:p>
    <w:p w14:paraId="6FAD4272" w14:textId="02FCCC18" w:rsidR="009C00C7" w:rsidRDefault="009C00C7" w:rsidP="009C00C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Fclassif</w:t>
      </w:r>
      <w:proofErr w:type="spellEnd"/>
      <w:r>
        <w:rPr>
          <w:rFonts w:ascii="Arial" w:hAnsi="Arial" w:cs="Arial"/>
        </w:rPr>
        <w:t xml:space="preserve"> for feature selection.</w:t>
      </w:r>
    </w:p>
    <w:p w14:paraId="372E6187" w14:textId="4E9F7E9E" w:rsidR="009C00C7" w:rsidRDefault="009C00C7" w:rsidP="009C00C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/>
        </w:rPr>
        <w:t xml:space="preserve"> as the algorithm.</w:t>
      </w:r>
    </w:p>
    <w:p w14:paraId="7D8FA7ED" w14:textId="625AC9E8" w:rsidR="009C00C7" w:rsidRDefault="009C00C7" w:rsidP="009C00C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parameters of </w:t>
      </w:r>
      <w:r w:rsidR="001950CB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>element of the model were tuned using grid search.</w:t>
      </w:r>
    </w:p>
    <w:p w14:paraId="178B0B83" w14:textId="5000BA1F" w:rsidR="009C00C7" w:rsidRPr="009C00C7" w:rsidRDefault="009C00C7" w:rsidP="009C00C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can be seen from the above results table </w:t>
      </w: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/>
        </w:rPr>
        <w:t xml:space="preserve"> performed much better than logistic regression </w:t>
      </w:r>
      <w:r w:rsidR="001950CB">
        <w:rPr>
          <w:rFonts w:ascii="Arial" w:hAnsi="Arial" w:cs="Arial"/>
        </w:rPr>
        <w:t xml:space="preserve">on all measures except time to build. </w:t>
      </w:r>
    </w:p>
    <w:p w14:paraId="480F67C5" w14:textId="12D725C3" w:rsidR="009C0271" w:rsidRPr="009C00C7" w:rsidRDefault="009C0271" w:rsidP="009C0271">
      <w:pPr>
        <w:spacing w:line="360" w:lineRule="auto"/>
        <w:rPr>
          <w:rFonts w:ascii="Arial" w:hAnsi="Arial" w:cs="Arial"/>
          <w:b/>
          <w:bCs/>
        </w:rPr>
      </w:pPr>
      <w:r w:rsidRPr="009C00C7">
        <w:rPr>
          <w:rFonts w:ascii="Arial" w:hAnsi="Arial" w:cs="Arial"/>
          <w:b/>
          <w:bCs/>
        </w:rPr>
        <w:t xml:space="preserve">Evaluation – Pipeline </w:t>
      </w:r>
      <w:r w:rsidRPr="009C00C7">
        <w:rPr>
          <w:rFonts w:ascii="Arial" w:hAnsi="Arial" w:cs="Arial"/>
          <w:b/>
          <w:bCs/>
        </w:rPr>
        <w:t>2</w:t>
      </w:r>
    </w:p>
    <w:p w14:paraId="6F0FB13D" w14:textId="7F13342E" w:rsidR="009C0271" w:rsidRDefault="001950CB" w:rsidP="00B15A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Pipeline 2 is made up of the same elements as Pipeline 1 with one addition, a Min/Max scaler is added to scale every variable between 0 and 1.</w:t>
      </w:r>
    </w:p>
    <w:p w14:paraId="1EC5BB81" w14:textId="77E40617" w:rsidR="001950CB" w:rsidRPr="001950CB" w:rsidRDefault="001950CB" w:rsidP="00B15A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 is no impact of the scaler on performance other than to increase the time to build the model.</w:t>
      </w:r>
    </w:p>
    <w:p w14:paraId="34725333" w14:textId="75162ED6" w:rsidR="00087843" w:rsidRPr="001950CB" w:rsidRDefault="00B405AA" w:rsidP="00B15AE8">
      <w:pPr>
        <w:spacing w:line="360" w:lineRule="auto"/>
        <w:rPr>
          <w:rFonts w:ascii="Arial" w:hAnsi="Arial" w:cs="Arial"/>
          <w:b/>
          <w:bCs/>
        </w:rPr>
      </w:pPr>
      <w:r w:rsidRPr="001950CB">
        <w:rPr>
          <w:rFonts w:ascii="Arial" w:hAnsi="Arial" w:cs="Arial"/>
          <w:b/>
          <w:bCs/>
        </w:rPr>
        <w:t>Evaluation – Pipeline 3</w:t>
      </w:r>
    </w:p>
    <w:p w14:paraId="18D6E921" w14:textId="51408B15" w:rsidR="00B405AA" w:rsidRDefault="009C0271" w:rsidP="0008784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Pipeline 3 </w:t>
      </w:r>
      <w:r w:rsidR="001950CB">
        <w:rPr>
          <w:rFonts w:ascii="Arial" w:hAnsi="Arial" w:cs="Arial"/>
        </w:rPr>
        <w:t>is made up of:</w:t>
      </w:r>
    </w:p>
    <w:p w14:paraId="34247E3F" w14:textId="0A39D8EB" w:rsidR="001950CB" w:rsidRDefault="001950CB" w:rsidP="001950C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Variance Threshold is used to remove variables with zero variance</w:t>
      </w:r>
      <w:r>
        <w:rPr>
          <w:rFonts w:ascii="Arial" w:hAnsi="Arial" w:cs="Arial"/>
        </w:rPr>
        <w:t>.</w:t>
      </w:r>
    </w:p>
    <w:p w14:paraId="6843532F" w14:textId="6660A1D7" w:rsidR="001950CB" w:rsidRDefault="001950CB" w:rsidP="001950C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950CB">
        <w:rPr>
          <w:rFonts w:ascii="Arial" w:hAnsi="Arial" w:cs="Arial"/>
        </w:rPr>
        <w:t xml:space="preserve">Min/Max Scaler to scale variables between </w:t>
      </w:r>
      <w:r>
        <w:rPr>
          <w:rFonts w:ascii="Arial" w:hAnsi="Arial" w:cs="Arial"/>
        </w:rPr>
        <w:t>0 and 1.</w:t>
      </w:r>
    </w:p>
    <w:p w14:paraId="242DB54F" w14:textId="3C9D8A73" w:rsidR="001950CB" w:rsidRDefault="001950CB" w:rsidP="001950C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Chi Square for feature selection.</w:t>
      </w:r>
    </w:p>
    <w:p w14:paraId="02D539B8" w14:textId="6D4E9D2E" w:rsidR="001950CB" w:rsidRDefault="001950CB" w:rsidP="001950C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Logistic regression for the algorithm.</w:t>
      </w:r>
    </w:p>
    <w:p w14:paraId="7BF0D87B" w14:textId="1D57DC7F" w:rsidR="001950CB" w:rsidRDefault="001950CB" w:rsidP="001950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Whilst not performing at the same level as the </w:t>
      </w: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/>
        </w:rPr>
        <w:t xml:space="preserve"> model. Logistic Regression </w:t>
      </w:r>
      <w:r w:rsidR="0010526D">
        <w:rPr>
          <w:rFonts w:ascii="Arial" w:hAnsi="Arial" w:cs="Arial"/>
        </w:rPr>
        <w:t xml:space="preserve">still performed well on our test data. In addition, the time to build for a Logistic Regression was over 1.8 seconds faster the </w:t>
      </w:r>
      <w:proofErr w:type="spellStart"/>
      <w:r w:rsidR="0010526D">
        <w:rPr>
          <w:rFonts w:ascii="Arial" w:hAnsi="Arial" w:cs="Arial"/>
        </w:rPr>
        <w:t>Adaboost</w:t>
      </w:r>
      <w:proofErr w:type="spellEnd"/>
      <w:r w:rsidR="0010526D">
        <w:rPr>
          <w:rFonts w:ascii="Arial" w:hAnsi="Arial" w:cs="Arial"/>
        </w:rPr>
        <w:t xml:space="preserve"> model.</w:t>
      </w:r>
    </w:p>
    <w:p w14:paraId="4EB2BE9D" w14:textId="4BF8A759" w:rsidR="0010526D" w:rsidRDefault="0010526D" w:rsidP="001950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Conclusion</w:t>
      </w:r>
    </w:p>
    <w:p w14:paraId="7D67C309" w14:textId="7B354179" w:rsidR="00087843" w:rsidRDefault="0010526D" w:rsidP="0019238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Following experimenting with multiple different algorithms it was clear that the </w:t>
      </w: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/>
        </w:rPr>
        <w:t xml:space="preserve"> model performed significantly better than the other models that were trained on the AWID dataset. </w:t>
      </w:r>
      <w:r w:rsidR="00135469">
        <w:rPr>
          <w:rFonts w:ascii="Arial" w:hAnsi="Arial" w:cs="Arial"/>
        </w:rPr>
        <w:t>This was backed up when the final three models were used on the test data. Therefore, the pipeline 1 model is chosen as our best performing model for this project.</w:t>
      </w:r>
    </w:p>
    <w:p w14:paraId="451DC05C" w14:textId="77777777" w:rsidR="0019238E" w:rsidRPr="006C49DA" w:rsidRDefault="0019238E" w:rsidP="0019238E">
      <w:pPr>
        <w:spacing w:line="360" w:lineRule="auto"/>
        <w:rPr>
          <w:rFonts w:ascii="Arial" w:hAnsi="Arial" w:cs="Arial"/>
        </w:rPr>
      </w:pPr>
    </w:p>
    <w:p w14:paraId="31D36EDD" w14:textId="6938C915" w:rsidR="00EE6C97" w:rsidRPr="001C26F3" w:rsidRDefault="00EE6C97" w:rsidP="00EE6C97">
      <w:pPr>
        <w:spacing w:line="360" w:lineRule="auto"/>
        <w:rPr>
          <w:rFonts w:ascii="Arial" w:hAnsi="Arial" w:cs="Arial"/>
          <w:b/>
        </w:rPr>
      </w:pPr>
      <w:r w:rsidRPr="001C26F3">
        <w:rPr>
          <w:rFonts w:ascii="Arial" w:hAnsi="Arial" w:cs="Arial"/>
          <w:b/>
        </w:rPr>
        <w:t>References Evaluation</w:t>
      </w:r>
    </w:p>
    <w:p w14:paraId="1750D387" w14:textId="46554AE1" w:rsidR="00EE6C97" w:rsidRPr="001C26F3" w:rsidRDefault="00EE6C97" w:rsidP="00EE6C97">
      <w:pPr>
        <w:spacing w:line="360" w:lineRule="auto"/>
        <w:rPr>
          <w:rFonts w:ascii="Arial" w:hAnsi="Arial" w:cs="Arial"/>
        </w:rPr>
      </w:pPr>
      <w:r w:rsidRPr="001C26F3">
        <w:rPr>
          <w:rFonts w:ascii="Arial" w:hAnsi="Arial" w:cs="Arial"/>
        </w:rPr>
        <w:t>[1]</w:t>
      </w:r>
      <w:r w:rsidR="001C26F3" w:rsidRPr="001C26F3">
        <w:rPr>
          <w:rFonts w:ascii="Arial" w:hAnsi="Arial" w:cs="Arial"/>
        </w:rPr>
        <w:t xml:space="preserve"> </w:t>
      </w:r>
      <w:r w:rsidR="004301E0">
        <w:rPr>
          <w:rFonts w:ascii="Arial" w:hAnsi="Arial" w:cs="Arial"/>
        </w:rPr>
        <w:t xml:space="preserve">M. </w:t>
      </w:r>
      <w:proofErr w:type="spellStart"/>
      <w:r w:rsidRPr="001C26F3">
        <w:rPr>
          <w:rFonts w:ascii="Arial" w:hAnsi="Arial" w:cs="Arial"/>
        </w:rPr>
        <w:t>Aminanto</w:t>
      </w:r>
      <w:proofErr w:type="spellEnd"/>
      <w:r w:rsidR="004301E0">
        <w:rPr>
          <w:rFonts w:ascii="Arial" w:hAnsi="Arial" w:cs="Arial"/>
        </w:rPr>
        <w:t xml:space="preserve">, R. Choi, H. </w:t>
      </w:r>
      <w:proofErr w:type="spellStart"/>
      <w:r w:rsidR="004301E0">
        <w:rPr>
          <w:rFonts w:ascii="Arial" w:hAnsi="Arial" w:cs="Arial"/>
        </w:rPr>
        <w:t>Tanuwidjaja</w:t>
      </w:r>
      <w:proofErr w:type="spellEnd"/>
      <w:r w:rsidR="004301E0">
        <w:rPr>
          <w:rFonts w:ascii="Arial" w:hAnsi="Arial" w:cs="Arial"/>
        </w:rPr>
        <w:t xml:space="preserve">, P. </w:t>
      </w:r>
      <w:proofErr w:type="spellStart"/>
      <w:r w:rsidR="004301E0">
        <w:rPr>
          <w:rFonts w:ascii="Arial" w:hAnsi="Arial" w:cs="Arial"/>
        </w:rPr>
        <w:t>Yoo</w:t>
      </w:r>
      <w:proofErr w:type="spellEnd"/>
      <w:r w:rsidR="004301E0">
        <w:rPr>
          <w:rFonts w:ascii="Arial" w:hAnsi="Arial" w:cs="Arial"/>
        </w:rPr>
        <w:t>, K. Kim</w:t>
      </w:r>
      <w:r w:rsidRPr="001C26F3">
        <w:rPr>
          <w:rFonts w:ascii="Arial" w:hAnsi="Arial" w:cs="Arial"/>
        </w:rPr>
        <w:t>, "Deep Abstraction and Weighted Feature Selection for Wi-Fi Impersonation Detection"</w:t>
      </w:r>
      <w:r w:rsidR="001C26F3" w:rsidRPr="001C26F3">
        <w:rPr>
          <w:rFonts w:ascii="Arial" w:hAnsi="Arial" w:cs="Arial"/>
        </w:rPr>
        <w:t>, in IEEE Transactions on Information Forensics and Security, vol. 13, no. 3, March 2018.</w:t>
      </w:r>
    </w:p>
    <w:p w14:paraId="06D5721A" w14:textId="620CE8C1" w:rsidR="004301E0" w:rsidRPr="004301E0" w:rsidRDefault="00B502E5" w:rsidP="004301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r w:rsidR="004301E0">
        <w:rPr>
          <w:rFonts w:ascii="Arial" w:hAnsi="Arial" w:cs="Arial"/>
        </w:rPr>
        <w:t xml:space="preserve">L. Parker, P. </w:t>
      </w:r>
      <w:proofErr w:type="spellStart"/>
      <w:r w:rsidR="004301E0">
        <w:rPr>
          <w:rFonts w:ascii="Arial" w:hAnsi="Arial" w:cs="Arial"/>
        </w:rPr>
        <w:t>Yoo</w:t>
      </w:r>
      <w:proofErr w:type="spellEnd"/>
      <w:r w:rsidR="004301E0">
        <w:rPr>
          <w:rFonts w:ascii="Arial" w:hAnsi="Arial" w:cs="Arial"/>
        </w:rPr>
        <w:t xml:space="preserve">, T. </w:t>
      </w:r>
      <w:proofErr w:type="spellStart"/>
      <w:r w:rsidR="004301E0">
        <w:rPr>
          <w:rFonts w:ascii="Arial" w:hAnsi="Arial" w:cs="Arial"/>
        </w:rPr>
        <w:t>Asyhari</w:t>
      </w:r>
      <w:proofErr w:type="spellEnd"/>
      <w:r w:rsidR="004301E0">
        <w:rPr>
          <w:rFonts w:ascii="Arial" w:hAnsi="Arial" w:cs="Arial"/>
        </w:rPr>
        <w:t xml:space="preserve">, L. </w:t>
      </w:r>
      <w:proofErr w:type="spellStart"/>
      <w:r w:rsidR="004301E0">
        <w:rPr>
          <w:rFonts w:ascii="Arial" w:hAnsi="Arial" w:cs="Arial"/>
        </w:rPr>
        <w:t>Chermak</w:t>
      </w:r>
      <w:proofErr w:type="spellEnd"/>
      <w:r w:rsidR="004301E0">
        <w:rPr>
          <w:rFonts w:ascii="Arial" w:hAnsi="Arial" w:cs="Arial"/>
        </w:rPr>
        <w:t xml:space="preserve">, </w:t>
      </w:r>
      <w:proofErr w:type="spellStart"/>
      <w:proofErr w:type="gramStart"/>
      <w:r w:rsidR="004301E0">
        <w:rPr>
          <w:rFonts w:ascii="Arial" w:hAnsi="Arial" w:cs="Arial"/>
        </w:rPr>
        <w:t>Y.Jhi</w:t>
      </w:r>
      <w:proofErr w:type="spellEnd"/>
      <w:proofErr w:type="gramEnd"/>
      <w:r w:rsidR="004301E0">
        <w:rPr>
          <w:rFonts w:ascii="Arial" w:hAnsi="Arial" w:cs="Arial"/>
        </w:rPr>
        <w:t xml:space="preserve">, </w:t>
      </w:r>
      <w:proofErr w:type="spellStart"/>
      <w:r w:rsidR="004301E0">
        <w:rPr>
          <w:rFonts w:ascii="Arial" w:hAnsi="Arial" w:cs="Arial"/>
        </w:rPr>
        <w:t>K.Taha</w:t>
      </w:r>
      <w:proofErr w:type="spellEnd"/>
      <w:r w:rsidR="004301E0">
        <w:rPr>
          <w:rFonts w:ascii="Arial" w:hAnsi="Arial" w:cs="Arial"/>
        </w:rPr>
        <w:t>, “</w:t>
      </w:r>
      <w:proofErr w:type="spellStart"/>
      <w:r w:rsidR="004301E0" w:rsidRPr="004301E0">
        <w:rPr>
          <w:rFonts w:ascii="Arial" w:hAnsi="Arial" w:cs="Arial"/>
        </w:rPr>
        <w:t>DEMISe</w:t>
      </w:r>
      <w:proofErr w:type="spellEnd"/>
      <w:r w:rsidR="004301E0" w:rsidRPr="004301E0">
        <w:rPr>
          <w:rFonts w:ascii="Arial" w:hAnsi="Arial" w:cs="Arial"/>
        </w:rPr>
        <w:t>: Interpretable Deep Extraction and Mutual Information Selection Techniques for IoT Intrusion Detection</w:t>
      </w:r>
      <w:r w:rsidR="004301E0">
        <w:rPr>
          <w:rFonts w:ascii="Arial" w:hAnsi="Arial" w:cs="Arial"/>
        </w:rPr>
        <w:t xml:space="preserve">” </w:t>
      </w:r>
      <w:r w:rsidR="004301E0" w:rsidRPr="004301E0">
        <w:rPr>
          <w:rFonts w:ascii="Arial" w:hAnsi="Arial" w:cs="Arial"/>
        </w:rPr>
        <w:t>ARES '19: Proceedings of the 14th International Conference on Availability, Reliability and Security</w:t>
      </w:r>
      <w:r w:rsidR="004301E0">
        <w:rPr>
          <w:rFonts w:ascii="Arial" w:hAnsi="Arial" w:cs="Arial"/>
        </w:rPr>
        <w:t xml:space="preserve">, </w:t>
      </w:r>
      <w:r w:rsidR="004301E0" w:rsidRPr="004301E0">
        <w:rPr>
          <w:rFonts w:ascii="Arial" w:hAnsi="Arial" w:cs="Arial"/>
        </w:rPr>
        <w:t>Article No. 98</w:t>
      </w:r>
      <w:r w:rsidR="004301E0">
        <w:rPr>
          <w:rFonts w:ascii="Arial" w:hAnsi="Arial" w:cs="Arial"/>
        </w:rPr>
        <w:t xml:space="preserve">, </w:t>
      </w:r>
      <w:r w:rsidR="004301E0" w:rsidRPr="004301E0">
        <w:rPr>
          <w:rFonts w:ascii="Arial" w:hAnsi="Arial" w:cs="Arial"/>
        </w:rPr>
        <w:t>August 2019</w:t>
      </w:r>
      <w:r w:rsidR="004301E0">
        <w:rPr>
          <w:rFonts w:ascii="Arial" w:hAnsi="Arial" w:cs="Arial"/>
        </w:rPr>
        <w:t>.</w:t>
      </w:r>
    </w:p>
    <w:p w14:paraId="1AD9BC9C" w14:textId="2956D2C5" w:rsidR="006C49DA" w:rsidRPr="00EE6C97" w:rsidRDefault="006C49DA" w:rsidP="00B15AE8">
      <w:pPr>
        <w:spacing w:line="360" w:lineRule="auto"/>
        <w:rPr>
          <w:rFonts w:ascii="Arial" w:hAnsi="Arial" w:cs="Arial"/>
          <w:b/>
          <w:lang w:val="fr-FR"/>
        </w:rPr>
      </w:pPr>
    </w:p>
    <w:sectPr w:rsidR="006C49DA" w:rsidRPr="00EE6C97" w:rsidSect="00C9428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76A0"/>
    <w:multiLevelType w:val="hybridMultilevel"/>
    <w:tmpl w:val="34004C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5949"/>
    <w:multiLevelType w:val="hybridMultilevel"/>
    <w:tmpl w:val="33B625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533BB"/>
    <w:multiLevelType w:val="hybridMultilevel"/>
    <w:tmpl w:val="9A3442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61F9"/>
    <w:multiLevelType w:val="hybridMultilevel"/>
    <w:tmpl w:val="8D2678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657E9"/>
    <w:multiLevelType w:val="hybridMultilevel"/>
    <w:tmpl w:val="86748B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208E"/>
    <w:multiLevelType w:val="hybridMultilevel"/>
    <w:tmpl w:val="616830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A5"/>
    <w:rsid w:val="00087843"/>
    <w:rsid w:val="000C2FEF"/>
    <w:rsid w:val="000F0C69"/>
    <w:rsid w:val="0010526D"/>
    <w:rsid w:val="00135469"/>
    <w:rsid w:val="00166C2F"/>
    <w:rsid w:val="0019238E"/>
    <w:rsid w:val="001950CB"/>
    <w:rsid w:val="00197F67"/>
    <w:rsid w:val="001C26F3"/>
    <w:rsid w:val="001E6315"/>
    <w:rsid w:val="002068D0"/>
    <w:rsid w:val="004149E6"/>
    <w:rsid w:val="004301E0"/>
    <w:rsid w:val="004A1B8A"/>
    <w:rsid w:val="005379A8"/>
    <w:rsid w:val="0059110F"/>
    <w:rsid w:val="005A7B0D"/>
    <w:rsid w:val="005E0572"/>
    <w:rsid w:val="006C49DA"/>
    <w:rsid w:val="006D370D"/>
    <w:rsid w:val="007262BB"/>
    <w:rsid w:val="007333E9"/>
    <w:rsid w:val="007552AB"/>
    <w:rsid w:val="0079740D"/>
    <w:rsid w:val="007C392A"/>
    <w:rsid w:val="007F3294"/>
    <w:rsid w:val="0085652D"/>
    <w:rsid w:val="008860FD"/>
    <w:rsid w:val="008A18EF"/>
    <w:rsid w:val="008A6A1A"/>
    <w:rsid w:val="008D4E8A"/>
    <w:rsid w:val="008E65FF"/>
    <w:rsid w:val="009A0684"/>
    <w:rsid w:val="009C00C7"/>
    <w:rsid w:val="009C0271"/>
    <w:rsid w:val="00A1491C"/>
    <w:rsid w:val="00A75F97"/>
    <w:rsid w:val="00AA0F41"/>
    <w:rsid w:val="00AF7B8F"/>
    <w:rsid w:val="00B15AE8"/>
    <w:rsid w:val="00B405AA"/>
    <w:rsid w:val="00B502E5"/>
    <w:rsid w:val="00B672EF"/>
    <w:rsid w:val="00BF1266"/>
    <w:rsid w:val="00C85D28"/>
    <w:rsid w:val="00C9428F"/>
    <w:rsid w:val="00DA0A28"/>
    <w:rsid w:val="00DD0FA5"/>
    <w:rsid w:val="00DF5383"/>
    <w:rsid w:val="00E03DB1"/>
    <w:rsid w:val="00E50D62"/>
    <w:rsid w:val="00E8651A"/>
    <w:rsid w:val="00EE6C97"/>
    <w:rsid w:val="00EF120D"/>
    <w:rsid w:val="00F347C0"/>
    <w:rsid w:val="00F41B0C"/>
    <w:rsid w:val="00F46BE2"/>
    <w:rsid w:val="00F63B45"/>
    <w:rsid w:val="00FD61E2"/>
    <w:rsid w:val="00F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71CF"/>
  <w15:chartTrackingRefBased/>
  <w15:docId w15:val="{88705A86-F6D4-4525-B290-E1D29228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53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370D"/>
    <w:rPr>
      <w:color w:val="808080"/>
    </w:rPr>
  </w:style>
  <w:style w:type="table" w:styleId="TableGrid">
    <w:name w:val="Table Grid"/>
    <w:basedOn w:val="TableNormal"/>
    <w:uiPriority w:val="39"/>
    <w:rsid w:val="008A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E2C221-B098-B04E-BD06-37AB2177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University of London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Robinson</dc:creator>
  <cp:keywords/>
  <dc:description/>
  <cp:lastModifiedBy>Andrew Robinson</cp:lastModifiedBy>
  <cp:revision>3</cp:revision>
  <dcterms:created xsi:type="dcterms:W3CDTF">2020-01-04T07:53:00Z</dcterms:created>
  <dcterms:modified xsi:type="dcterms:W3CDTF">2020-01-04T07:55:00Z</dcterms:modified>
</cp:coreProperties>
</file>