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b/>
          <w:color w:val="2F6F93"/>
          <w:sz w:val="34"/>
        </w:rPr>
        <w:t>浅井法律事務所</w:t>
      </w:r>
    </w:p>
    <w:p>
      <w:pPr>
        <w:pStyle w:val="Title"/>
        <w:spacing w:after="240"/>
      </w:pPr>
      <w:r>
        <w:t>業務フロー機械可読化</w:t>
        <w:br/>
        <w:t>設計・ヒアリングパック</w:t>
      </w:r>
    </w:p>
    <w:p>
      <w:r>
        <w:rPr>
          <w:color w:val="2F6F93"/>
          <w:sz w:val="26"/>
        </w:rPr>
        <w:t>v0.1  |  相談流入から終結・知識化まで</w:t>
      </w:r>
    </w:p>
    <w:p>
      <w:pPr>
        <w:spacing w:before="480"/>
      </w:pPr>
      <w:r>
        <w:rPr>
          <w:b/>
        </w:rPr>
        <w:t>作成日：2026年6月24日</w:t>
        <w:br/>
      </w:r>
      <w:r>
        <w:t>状態：DISCOVERY / 仮説・実査・聴取用</w:t>
        <w:br/>
      </w:r>
      <w:r>
        <w:t>主成果物：設計書（本書）／実査台帳（Excel）／イベントJSON Schema／匿名例</w:t>
      </w:r>
    </w:p>
    <w:p>
      <w:pPr>
        <w:spacing w:before="960"/>
      </w:pPr>
      <w:r>
        <w:rPr>
          <w:b/>
          <w:color w:val="9B1C1C"/>
        </w:rPr>
        <w:t>取扱注意</w:t>
      </w:r>
      <w:r>
        <w:br/>
        <w:t>本書は、個別案件の内容・氏名・具体的金額を転記せず、実物から抽出した業務パターンのみを記載する。</w:t>
      </w:r>
    </w:p>
    <w:p>
      <w:r>
        <w:br w:type="page"/>
      </w:r>
    </w:p>
    <w:p>
      <w:pPr>
        <w:pStyle w:val="Heading1"/>
        <w:pBdr>
          <w:bottom w:val="single" w:sz="8" w:space="4" w:color="2F6F93"/>
        </w:pBdr>
      </w:pPr>
      <w:r>
        <w:t>0. 本書の目的と初期結論</w:t>
      </w:r>
    </w:p>
    <w:p>
      <w:r>
        <w:t>本書は、浅井法律事務所の業務を「人が読む手順書」だけでなく、Salesforce、Box、Gmail、Dialpad、Notta、Calendar、Money Forward等から再構成できる機械可読データとして定義するための設計・聴取パックである。</w:t>
      </w:r>
    </w:p>
    <w:tbl>
      <w:tblPr>
        <w:tblW w:type="auto" w:w="0"/>
        <w:jc w:val="center"/>
        <w:tblLayout w:type="autofit"/>
        <w:tblLook w:firstColumn="1" w:firstRow="1" w:lastColumn="0" w:lastRow="0" w:noHBand="0" w:noVBand="1" w:val="04A0"/>
      </w:tblPr>
      <w:tblGrid>
        <w:gridCol w:w="10086"/>
      </w:tblGrid>
      <w:tr>
        <w:tc>
          <w:tcPr>
            <w:tcW w:type="dxa" w:w="10086"/>
            <w:shd w:fill="EAF2F7"/>
            <w:tcMar>
              <w:top w:w="150" w:type="dxa"/>
              <w:start w:w="180" w:type="dxa"/>
              <w:bottom w:w="150" w:type="dxa"/>
              <w:end w:w="180" w:type="dxa"/>
            </w:tcMar>
            <w:tcBorders>
              <w:left w:val="single" w:sz="24" w:color="2F6F93"/>
            </w:tcBorders>
          </w:tcPr>
          <w:p>
            <w:r>
              <w:rPr>
                <w:b/>
                <w:color w:val="2F6F93"/>
                <w:sz w:val="22"/>
              </w:rPr>
              <w:t>初期結論</w:t>
            </w:r>
            <w:r>
              <w:br/>
              <w:t>最初にBPMN図だけを完成させるべきではない。既に各システムへ豊富な痕跡が残っているため、まず「観測イベント → 案件紐付け → 次行動 → 判断 → 状態スナップショット → 文書/財務 → 監査証跡」の共通形式を作り、実データから現行フローを復元する。その後、標準フローと例外を確定する。</w:t>
            </w:r>
          </w:p>
        </w:tc>
      </w:tr>
    </w:tbl>
    <w:p/>
    <w:p>
      <w:pPr>
        <w:pStyle w:val="ListBullet"/>
        <w:spacing w:after="40"/>
      </w:pPr>
      <w:r>
        <w:t>Salesforce：相談・案件・担当・状態・Task・会計等を束ねる制御塔。</w:t>
      </w:r>
    </w:p>
    <w:p>
      <w:pPr>
        <w:pStyle w:val="ListBullet"/>
        <w:spacing w:after="40"/>
      </w:pPr>
      <w:r>
        <w:t>Box：文書本文と版の正本。file_id / version_idを文書同一性の中心にする。</w:t>
      </w:r>
    </w:p>
    <w:p>
      <w:pPr>
        <w:pStyle w:val="ListBullet"/>
        <w:spacing w:after="40"/>
      </w:pPr>
      <w:r>
        <w:t>Gmail・Dialpad・Notta・Calendar・郵便等：出来事のraw観測源。直接状態を上書きせず、まずappend-only eventにする。</w:t>
      </w:r>
    </w:p>
    <w:p>
      <w:pPr>
        <w:pStyle w:val="ListBullet"/>
        <w:spacing w:after="40"/>
      </w:pPr>
      <w:r>
        <w:t>別DB又はDerivedEvent：元ソース、抽出器version、確信度、人間レビュー、訂正履歴を保持する意味付け層。</w:t>
      </w:r>
    </w:p>
    <w:p>
      <w:pPr>
        <w:pStyle w:val="ListBullet"/>
        <w:spacing w:after="40"/>
      </w:pPr>
      <w:r>
        <w:t>人間の新規入力：自然発生データから取れない判断・承認・例外理由に限定する。</w:t>
      </w:r>
    </w:p>
    <w:p>
      <w:pPr>
        <w:pStyle w:val="Heading2"/>
      </w:pPr>
      <w:r>
        <w:t>このパックで確定したいこと</w:t>
      </w:r>
    </w:p>
    <w:p>
      <w:pPr>
        <w:pStyle w:val="ListNumber"/>
        <w:spacing w:after="40"/>
      </w:pPr>
      <w:r>
        <w:t>相談から終結までの標準フェーズ、開始/終了条件、例外。</w:t>
      </w:r>
    </w:p>
    <w:p>
      <w:pPr>
        <w:pStyle w:val="ListNumber"/>
        <w:spacing w:after="40"/>
      </w:pPr>
      <w:r>
        <w:t>各工程の責任者、次行動、期限、待ち先、完了証拠。</w:t>
      </w:r>
    </w:p>
    <w:p>
      <w:pPr>
        <w:pStyle w:val="ListNumber"/>
        <w:spacing w:after="40"/>
      </w:pPr>
      <w:r>
        <w:t>Salesforce・Box・各SaaSの正本関係とID結合。</w:t>
      </w:r>
    </w:p>
    <w:p>
      <w:pPr>
        <w:pStyle w:val="ListNumber"/>
        <w:spacing w:after="40"/>
      </w:pPr>
      <w:r>
        <w:t>文書のドラフト、レビュー、承認、送付、到達、受理、廃版の定義。</w:t>
      </w:r>
    </w:p>
    <w:p>
      <w:pPr>
        <w:pStyle w:val="ListNumber"/>
        <w:spacing w:after="40"/>
      </w:pPr>
      <w:r>
        <w:t>依頼者、契約当事者、支払者、紹介者、相手方を分離したPartyモデル。</w:t>
      </w:r>
    </w:p>
    <w:p>
      <w:pPr>
        <w:pStyle w:val="ListNumber"/>
        <w:spacing w:after="40"/>
      </w:pPr>
      <w:r>
        <w:t>見積、契約、請求、入金、実費、預り金、返金、未収の財務ライフサイクル。</w:t>
      </w:r>
    </w:p>
    <w:p>
      <w:pPr>
        <w:pStyle w:val="ListNumber"/>
        <w:spacing w:after="40"/>
      </w:pPr>
      <w:r>
        <w:t>重大ゲートの人間承認と、AIが候補提示・自動確定できる境界。</w:t>
      </w:r>
    </w:p>
    <w:p>
      <w:pPr>
        <w:pStyle w:val="Heading1"/>
        <w:pBdr>
          <w:bottom w:val="single" w:sz="8" w:space="4" w:color="2F6F93"/>
        </w:pBdr>
      </w:pPr>
      <w:r>
        <w:t>1. 初期実査で分かったこと</w:t>
      </w:r>
    </w:p>
    <w:p>
      <w:r>
        <w:t>既存の資料・Box実物・Salesforceフィールド・匿名化したメールスレッドを確認した結果、「何も記録されていない」のではなく、「記録は多いが、出来事・判断・作業・文書・財務が同じ自由記述やメールスレッドに重なっている」状態である。</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587"/>
            <w:shd w:fill="2F6F93"/>
            <w:vAlign w:val="center"/>
            <w:tcMar>
              <w:top w:w="70" w:type="dxa"/>
              <w:start w:w="80" w:type="dxa"/>
              <w:bottom w:w="70" w:type="dxa"/>
              <w:end w:w="80" w:type="dxa"/>
            </w:tcMar>
          </w:tcPr>
          <w:p>
            <w:pPr>
              <w:jc w:val="center"/>
            </w:pPr>
            <w:r>
              <w:rPr>
                <w:b/>
                <w:color w:val="FFFFFF"/>
                <w:sz w:val="16"/>
              </w:rPr>
              <w:t>領域</w:t>
            </w:r>
          </w:p>
        </w:tc>
        <w:tc>
          <w:tcPr>
            <w:tcW w:type="dxa" w:w="3685"/>
            <w:shd w:fill="2F6F93"/>
            <w:vAlign w:val="center"/>
            <w:tcMar>
              <w:top w:w="70" w:type="dxa"/>
              <w:start w:w="80" w:type="dxa"/>
              <w:bottom w:w="70" w:type="dxa"/>
              <w:end w:w="80" w:type="dxa"/>
            </w:tcMar>
          </w:tcPr>
          <w:p>
            <w:pPr>
              <w:jc w:val="center"/>
            </w:pPr>
            <w:r>
              <w:rPr>
                <w:b/>
                <w:color w:val="FFFFFF"/>
                <w:sz w:val="16"/>
              </w:rPr>
              <w:t>既にあるもの</w:t>
            </w:r>
          </w:p>
        </w:tc>
        <w:tc>
          <w:tcPr>
            <w:tcW w:type="dxa" w:w="4649"/>
            <w:shd w:fill="2F6F93"/>
            <w:vAlign w:val="center"/>
            <w:tcMar>
              <w:top w:w="70" w:type="dxa"/>
              <w:start w:w="80" w:type="dxa"/>
              <w:bottom w:w="70" w:type="dxa"/>
              <w:end w:w="80" w:type="dxa"/>
            </w:tcMar>
          </w:tcPr>
          <w:p>
            <w:pPr>
              <w:jc w:val="center"/>
            </w:pPr>
            <w:r>
              <w:rPr>
                <w:b/>
                <w:color w:val="FFFFFF"/>
                <w:sz w:val="16"/>
              </w:rPr>
              <w:t>機械可読化で補うもの</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6"/>
              </w:rPr>
              <w:t>相談受付</w:t>
            </w:r>
          </w:p>
        </w:tc>
        <w:tc>
          <w:tcPr>
            <w:tcW w:type="dxa" w:w="3685"/>
            <w:vAlign w:val="top"/>
            <w:tcMar>
              <w:top w:w="60" w:type="dxa"/>
              <w:start w:w="70" w:type="dxa"/>
              <w:bottom w:w="60" w:type="dxa"/>
              <w:end w:w="70" w:type="dxa"/>
            </w:tcMar>
          </w:tcPr>
          <w:p>
            <w:pPr>
              <w:spacing w:after="0"/>
            </w:pPr>
            <w:r>
              <w:rPr>
                <w:rFonts w:ascii="Noto Sans CJK JP" w:hAnsi="Noto Sans CJK JP" w:eastAsia="Noto Sans CJK JP"/>
                <w:sz w:val="16"/>
              </w:rPr>
              <w:t>SF相談オブジェクト、電話マニュアル、相談票、Gmail/Dialpad</w:t>
            </w:r>
          </w:p>
        </w:tc>
        <w:tc>
          <w:tcPr>
            <w:tcW w:type="dxa" w:w="4649"/>
            <w:vAlign w:val="top"/>
            <w:tcMar>
              <w:top w:w="60" w:type="dxa"/>
              <w:start w:w="70" w:type="dxa"/>
              <w:bottom w:w="60" w:type="dxa"/>
              <w:end w:w="70" w:type="dxa"/>
            </w:tcMar>
          </w:tcPr>
          <w:p>
            <w:pPr>
              <w:spacing w:after="0"/>
            </w:pPr>
            <w:r>
              <w:rPr>
                <w:rFonts w:ascii="Noto Sans CJK JP" w:hAnsi="Noto Sans CJK JP" w:eastAsia="Noto Sans CJK JP"/>
                <w:sz w:val="16"/>
              </w:rPr>
              <w:t>問合せ受信時刻、本人関係、安全連絡、期限、コンフリ、next actionをイベント化</w:t>
            </w:r>
          </w:p>
        </w:tc>
      </w:tr>
      <w:tr>
        <w:trPr>
          <w:cantSplit/>
        </w:trPr>
        <w:tc>
          <w:tcPr>
            <w:tcW w:type="dxa" w:w="1587"/>
            <w:vAlign w:val="top"/>
            <w:tcMar>
              <w:top w:w="60" w:type="dxa"/>
              <w:start w:w="70" w:type="dxa"/>
              <w:bottom w:w="60" w:type="dxa"/>
              <w:end w:w="70" w:type="dxa"/>
            </w:tcMar>
            <w:shd w:fill="F7F9FB"/>
          </w:tcPr>
          <w:p>
            <w:pPr>
              <w:spacing w:after="0"/>
            </w:pPr>
            <w:r>
              <w:rPr>
                <w:rFonts w:ascii="Noto Sans CJK JP" w:hAnsi="Noto Sans CJK JP" w:eastAsia="Noto Sans CJK JP"/>
                <w:sz w:val="16"/>
              </w:rPr>
              <w:t>相談→受任</w:t>
            </w:r>
          </w:p>
        </w:tc>
        <w:tc>
          <w:tcPr>
            <w:tcW w:type="dxa" w:w="3685"/>
            <w:vAlign w:val="top"/>
            <w:tcMar>
              <w:top w:w="60" w:type="dxa"/>
              <w:start w:w="70" w:type="dxa"/>
              <w:bottom w:w="60" w:type="dxa"/>
              <w:end w:w="70" w:type="dxa"/>
            </w:tcMar>
            <w:shd w:fill="F7F9FB"/>
          </w:tcPr>
          <w:p>
            <w:pPr>
              <w:spacing w:after="0"/>
            </w:pPr>
            <w:r>
              <w:rPr>
                <w:rFonts w:ascii="Noto Sans CJK JP" w:hAnsi="Noto Sans CJK JP" w:eastAsia="Noto Sans CJK JP"/>
                <w:sz w:val="16"/>
              </w:rPr>
              <w:t>Stage、受付日/相談日、受任確度、失注理由、見込費用、変換フラグ</w:t>
            </w:r>
          </w:p>
        </w:tc>
        <w:tc>
          <w:tcPr>
            <w:tcW w:type="dxa" w:w="4649"/>
            <w:vAlign w:val="top"/>
            <w:tcMar>
              <w:top w:w="60" w:type="dxa"/>
              <w:start w:w="70" w:type="dxa"/>
              <w:bottom w:w="60" w:type="dxa"/>
              <w:end w:w="70" w:type="dxa"/>
            </w:tcMar>
            <w:shd w:fill="F7F9FB"/>
          </w:tcPr>
          <w:p>
            <w:pPr>
              <w:spacing w:after="0"/>
            </w:pPr>
            <w:r>
              <w:rPr>
                <w:rFonts w:ascii="Noto Sans CJK JP" w:hAnsi="Noto Sans CJK JP" w:eastAsia="Noto Sans CJK JP"/>
                <w:sz w:val="16"/>
              </w:rPr>
              <w:t>提案package、送付版、フォロー期限、成立根拠、契約effective_at</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6"/>
              </w:rPr>
              <w:t>日常処理</w:t>
            </w:r>
          </w:p>
        </w:tc>
        <w:tc>
          <w:tcPr>
            <w:tcW w:type="dxa" w:w="3685"/>
            <w:vAlign w:val="top"/>
            <w:tcMar>
              <w:top w:w="60" w:type="dxa"/>
              <w:start w:w="70" w:type="dxa"/>
              <w:bottom w:w="60" w:type="dxa"/>
              <w:end w:w="70" w:type="dxa"/>
            </w:tcMar>
          </w:tcPr>
          <w:p>
            <w:pPr>
              <w:spacing w:after="0"/>
            </w:pPr>
            <w:r>
              <w:rPr>
                <w:rFonts w:ascii="Noto Sans CJK JP" w:hAnsi="Noto Sans CJK JP" w:eastAsia="Noto Sans CJK JP"/>
                <w:sz w:val="16"/>
              </w:rPr>
              <w:t>Task/Event/Chatter、メール、通話、会議、Box文書</w:t>
            </w:r>
          </w:p>
        </w:tc>
        <w:tc>
          <w:tcPr>
            <w:tcW w:type="dxa" w:w="4649"/>
            <w:vAlign w:val="top"/>
            <w:tcMar>
              <w:top w:w="60" w:type="dxa"/>
              <w:start w:w="70" w:type="dxa"/>
              <w:bottom w:w="60" w:type="dxa"/>
              <w:end w:w="70" w:type="dxa"/>
            </w:tcMar>
          </w:tcPr>
          <w:p>
            <w:pPr>
              <w:spacing w:after="0"/>
            </w:pPr>
            <w:r>
              <w:rPr>
                <w:rFonts w:ascii="Noto Sans CJK JP" w:hAnsi="Noto Sans CJK JP" w:eastAsia="Noto Sans CJK JP"/>
                <w:sz w:val="16"/>
              </w:rPr>
              <w:t>work_session、waiting_on、完了定義、observed_stateとdeclared_stateの照合</w:t>
            </w:r>
          </w:p>
        </w:tc>
      </w:tr>
      <w:tr>
        <w:trPr>
          <w:cantSplit/>
        </w:trPr>
        <w:tc>
          <w:tcPr>
            <w:tcW w:type="dxa" w:w="1587"/>
            <w:vAlign w:val="top"/>
            <w:tcMar>
              <w:top w:w="60" w:type="dxa"/>
              <w:start w:w="70" w:type="dxa"/>
              <w:bottom w:w="60" w:type="dxa"/>
              <w:end w:w="70" w:type="dxa"/>
            </w:tcMar>
            <w:shd w:fill="F7F9FB"/>
          </w:tcPr>
          <w:p>
            <w:pPr>
              <w:spacing w:after="0"/>
            </w:pPr>
            <w:r>
              <w:rPr>
                <w:rFonts w:ascii="Noto Sans CJK JP" w:hAnsi="Noto Sans CJK JP" w:eastAsia="Noto Sans CJK JP"/>
                <w:sz w:val="16"/>
              </w:rPr>
              <w:t>成果物</w:t>
            </w:r>
          </w:p>
        </w:tc>
        <w:tc>
          <w:tcPr>
            <w:tcW w:type="dxa" w:w="3685"/>
            <w:vAlign w:val="top"/>
            <w:tcMar>
              <w:top w:w="60" w:type="dxa"/>
              <w:start w:w="70" w:type="dxa"/>
              <w:bottom w:w="60" w:type="dxa"/>
              <w:end w:w="70" w:type="dxa"/>
            </w:tcMar>
            <w:shd w:fill="F7F9FB"/>
          </w:tcPr>
          <w:p>
            <w:pPr>
              <w:spacing w:after="0"/>
            </w:pPr>
            <w:r>
              <w:rPr>
                <w:rFonts w:ascii="Noto Sans CJK JP" w:hAnsi="Noto Sans CJK JP" w:eastAsia="Noto Sans CJK JP"/>
                <w:sz w:val="16"/>
              </w:rPr>
              <w:t>Box文書、メール、MINTS/Teams/FAX/郵送</w:t>
            </w:r>
          </w:p>
        </w:tc>
        <w:tc>
          <w:tcPr>
            <w:tcW w:type="dxa" w:w="4649"/>
            <w:vAlign w:val="top"/>
            <w:tcMar>
              <w:top w:w="60" w:type="dxa"/>
              <w:start w:w="70" w:type="dxa"/>
              <w:bottom w:w="60" w:type="dxa"/>
              <w:end w:w="70" w:type="dxa"/>
            </w:tcMar>
            <w:shd w:fill="F7F9FB"/>
          </w:tcPr>
          <w:p>
            <w:pPr>
              <w:spacing w:after="0"/>
            </w:pPr>
            <w:r>
              <w:rPr>
                <w:rFonts w:ascii="Noto Sans CJK JP" w:hAnsi="Noto Sans CJK JP" w:eastAsia="Noto Sans CJK JP"/>
                <w:sz w:val="16"/>
              </w:rPr>
              <w:t>文書状態とdelivery eventを分離し、送付・到達・受理を別管理</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6"/>
              </w:rPr>
              <w:t>財務</w:t>
            </w:r>
          </w:p>
        </w:tc>
        <w:tc>
          <w:tcPr>
            <w:tcW w:type="dxa" w:w="3685"/>
            <w:vAlign w:val="top"/>
            <w:tcMar>
              <w:top w:w="60" w:type="dxa"/>
              <w:start w:w="70" w:type="dxa"/>
              <w:bottom w:w="60" w:type="dxa"/>
              <w:end w:w="70" w:type="dxa"/>
            </w:tcMar>
          </w:tcPr>
          <w:p>
            <w:pPr>
              <w:spacing w:after="0"/>
            </w:pPr>
            <w:r>
              <w:rPr>
                <w:rFonts w:ascii="Noto Sans CJK JP" w:hAnsi="Noto Sans CJK JP" w:eastAsia="Noto Sans CJK JP"/>
                <w:sz w:val="16"/>
              </w:rPr>
              <w:t>SF会計系、MF請求書/会計、請求メール</w:t>
            </w:r>
          </w:p>
        </w:tc>
        <w:tc>
          <w:tcPr>
            <w:tcW w:type="dxa" w:w="4649"/>
            <w:vAlign w:val="top"/>
            <w:tcMar>
              <w:top w:w="60" w:type="dxa"/>
              <w:start w:w="70" w:type="dxa"/>
              <w:bottom w:w="60" w:type="dxa"/>
              <w:end w:w="70" w:type="dxa"/>
            </w:tcMar>
          </w:tcPr>
          <w:p>
            <w:pPr>
              <w:spacing w:after="0"/>
            </w:pPr>
            <w:r>
              <w:rPr>
                <w:rFonts w:ascii="Noto Sans CJK JP" w:hAnsi="Noto Sans CJK JP" w:eastAsia="Noto Sans CJK JP"/>
                <w:sz w:val="16"/>
              </w:rPr>
              <w:t>clientとpayerの分離、外部照会番号、請求受領確認、精算gate</w:t>
            </w:r>
          </w:p>
        </w:tc>
      </w:tr>
      <w:tr>
        <w:trPr>
          <w:cantSplit/>
        </w:trPr>
        <w:tc>
          <w:tcPr>
            <w:tcW w:type="dxa" w:w="1587"/>
            <w:vAlign w:val="top"/>
            <w:tcMar>
              <w:top w:w="60" w:type="dxa"/>
              <w:start w:w="70" w:type="dxa"/>
              <w:bottom w:w="60" w:type="dxa"/>
              <w:end w:w="70" w:type="dxa"/>
            </w:tcMar>
            <w:shd w:fill="F7F9FB"/>
          </w:tcPr>
          <w:p>
            <w:pPr>
              <w:spacing w:after="0"/>
            </w:pPr>
            <w:r>
              <w:rPr>
                <w:rFonts w:ascii="Noto Sans CJK JP" w:hAnsi="Noto Sans CJK JP" w:eastAsia="Noto Sans CJK JP"/>
                <w:sz w:val="16"/>
              </w:rPr>
              <w:t>終結</w:t>
            </w:r>
          </w:p>
        </w:tc>
        <w:tc>
          <w:tcPr>
            <w:tcW w:type="dxa" w:w="3685"/>
            <w:vAlign w:val="top"/>
            <w:tcMar>
              <w:top w:w="60" w:type="dxa"/>
              <w:start w:w="70" w:type="dxa"/>
              <w:bottom w:w="60" w:type="dxa"/>
              <w:end w:w="70" w:type="dxa"/>
            </w:tcMar>
            <w:shd w:fill="F7F9FB"/>
          </w:tcPr>
          <w:p>
            <w:pPr>
              <w:spacing w:after="0"/>
            </w:pPr>
            <w:r>
              <w:rPr>
                <w:rFonts w:ascii="Noto Sans CJK JP" w:hAnsi="Noto Sans CJK JP" w:eastAsia="Noto Sans CJK JP"/>
                <w:sz w:val="16"/>
              </w:rPr>
              <w:t>既済フォルダ、業務終了報告、最終請求・実費・原本返却</w:t>
            </w:r>
          </w:p>
        </w:tc>
        <w:tc>
          <w:tcPr>
            <w:tcW w:type="dxa" w:w="4649"/>
            <w:vAlign w:val="top"/>
            <w:tcMar>
              <w:top w:w="60" w:type="dxa"/>
              <w:start w:w="70" w:type="dxa"/>
              <w:bottom w:w="60" w:type="dxa"/>
              <w:end w:w="70" w:type="dxa"/>
            </w:tcMar>
            <w:shd w:fill="F7F9FB"/>
          </w:tcPr>
          <w:p>
            <w:pPr>
              <w:spacing w:after="0"/>
            </w:pPr>
            <w:r>
              <w:rPr>
                <w:rFonts w:ascii="Noto Sans CJK JP" w:hAnsi="Noto Sans CJK JP" w:eastAsia="Noto Sans CJK JP"/>
                <w:sz w:val="16"/>
              </w:rPr>
              <w:t>解決と終結を分離し、未完Task・期限・財務・原本・終了報告をclose gate化</w:t>
            </w:r>
          </w:p>
        </w:tc>
      </w:tr>
    </w:tbl>
    <w:p/>
    <w:p>
      <w:pPr>
        <w:pStyle w:val="Heading2"/>
      </w:pPr>
      <w:r>
        <w:t>特に重要な5つの欠落</w:t>
      </w:r>
    </w:p>
    <w:p>
      <w:pPr>
        <w:pStyle w:val="ListBullet"/>
        <w:spacing w:after="40"/>
      </w:pPr>
      <w:r>
        <w:t>メールスレッド内の段階が独立データになっていない：日程提示、相談、追加質問、見積依頼、見積作成、契約案送付、最終面談が一続きになる。</w:t>
      </w:r>
    </w:p>
    <w:p>
      <w:pPr>
        <w:pStyle w:val="ListBullet"/>
        <w:spacing w:after="40"/>
      </w:pPr>
      <w:r>
        <w:t>全レコードに単一のcurrent next_action / owner / due_at / waiting_onがない、又は自由記述に埋まる。</w:t>
      </w:r>
    </w:p>
    <w:p>
      <w:pPr>
        <w:pStyle w:val="ListBullet"/>
        <w:spacing w:after="40"/>
      </w:pPr>
      <w:r>
        <w:t>文書の完成、内部承認、顧客承認、外部送付、到達、裁判所受理が混同されやすい。</w:t>
      </w:r>
    </w:p>
    <w:p>
      <w:pPr>
        <w:pStyle w:val="ListBullet"/>
        <w:spacing w:after="40"/>
      </w:pPr>
      <w:r>
        <w:t>依頼者と支払者が同一とは限らない。保険会社、法テラス、法人、親族等をPartyとして分離する必要がある。</w:t>
      </w:r>
    </w:p>
    <w:p>
      <w:pPr>
        <w:pStyle w:val="ListBullet"/>
        <w:spacing w:after="40"/>
      </w:pPr>
      <w:r>
        <w:t>解決後も、履行、最終報酬、預り金・実費、返却物、終了報告、将来期限が残る。『結果が出た』だけではclosedにできない。</w:t>
      </w:r>
    </w:p>
    <w:p>
      <w:pPr>
        <w:pStyle w:val="Heading1"/>
        <w:pBdr>
          <w:bottom w:val="single" w:sz="8" w:space="4" w:color="2F6F93"/>
        </w:pBdr>
      </w:pPr>
      <w:r>
        <w:t>2. 目標とする機械可読モデル</w:t>
      </w:r>
    </w:p>
    <w:p>
      <w:r>
        <w:t>一つの巨大な案件レコードへ全情報を詰め込まず、次のオブジェクトを疎結合で持つ。</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587"/>
            <w:shd w:fill="2F6F93"/>
            <w:vAlign w:val="center"/>
            <w:tcMar>
              <w:top w:w="70" w:type="dxa"/>
              <w:start w:w="80" w:type="dxa"/>
              <w:bottom w:w="70" w:type="dxa"/>
              <w:end w:w="80" w:type="dxa"/>
            </w:tcMar>
          </w:tcPr>
          <w:p>
            <w:pPr>
              <w:jc w:val="center"/>
            </w:pPr>
            <w:r>
              <w:rPr>
                <w:b/>
                <w:color w:val="FFFFFF"/>
                <w:sz w:val="15"/>
              </w:rPr>
              <w:t>オブジェクト</w:t>
            </w:r>
          </w:p>
        </w:tc>
        <w:tc>
          <w:tcPr>
            <w:tcW w:type="dxa" w:w="3118"/>
            <w:shd w:fill="2F6F93"/>
            <w:vAlign w:val="center"/>
            <w:tcMar>
              <w:top w:w="70" w:type="dxa"/>
              <w:start w:w="80" w:type="dxa"/>
              <w:bottom w:w="70" w:type="dxa"/>
              <w:end w:w="80" w:type="dxa"/>
            </w:tcMar>
          </w:tcPr>
          <w:p>
            <w:pPr>
              <w:jc w:val="center"/>
            </w:pPr>
            <w:r>
              <w:rPr>
                <w:b/>
                <w:color w:val="FFFFFF"/>
                <w:sz w:val="15"/>
              </w:rPr>
              <w:t>役割</w:t>
            </w:r>
          </w:p>
        </w:tc>
        <w:tc>
          <w:tcPr>
            <w:tcW w:type="dxa" w:w="2438"/>
            <w:shd w:fill="2F6F93"/>
            <w:vAlign w:val="center"/>
            <w:tcMar>
              <w:top w:w="70" w:type="dxa"/>
              <w:start w:w="80" w:type="dxa"/>
              <w:bottom w:w="70" w:type="dxa"/>
              <w:end w:w="80" w:type="dxa"/>
            </w:tcMar>
          </w:tcPr>
          <w:p>
            <w:pPr>
              <w:jc w:val="center"/>
            </w:pPr>
            <w:r>
              <w:rPr>
                <w:b/>
                <w:color w:val="FFFFFF"/>
                <w:sz w:val="15"/>
              </w:rPr>
              <w:t>不変キー/中心キー</w:t>
            </w:r>
          </w:p>
        </w:tc>
        <w:tc>
          <w:tcPr>
            <w:tcW w:type="dxa" w:w="2948"/>
            <w:shd w:fill="2F6F93"/>
            <w:vAlign w:val="center"/>
            <w:tcMar>
              <w:top w:w="70" w:type="dxa"/>
              <w:start w:w="80" w:type="dxa"/>
              <w:bottom w:w="70" w:type="dxa"/>
              <w:end w:w="80" w:type="dxa"/>
            </w:tcMar>
          </w:tcPr>
          <w:p>
            <w:pPr>
              <w:jc w:val="center"/>
            </w:pPr>
            <w:r>
              <w:rPr>
                <w:b/>
                <w:color w:val="FFFFFF"/>
                <w:sz w:val="15"/>
              </w:rPr>
              <w:t>例</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5"/>
              </w:rPr>
              <w:t>Party</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5"/>
              </w:rPr>
              <w:t>人・法人・機関と案件内役割</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party_id / 外部ID</w:t>
            </w:r>
          </w:p>
        </w:tc>
        <w:tc>
          <w:tcPr>
            <w:tcW w:type="dxa" w:w="2948"/>
            <w:vAlign w:val="top"/>
            <w:tcMar>
              <w:top w:w="60" w:type="dxa"/>
              <w:start w:w="70" w:type="dxa"/>
              <w:bottom w:w="60" w:type="dxa"/>
              <w:end w:w="70" w:type="dxa"/>
            </w:tcMar>
          </w:tcPr>
          <w:p>
            <w:pPr>
              <w:spacing w:after="0"/>
            </w:pPr>
            <w:r>
              <w:rPr>
                <w:rFonts w:ascii="Noto Sans CJK JP" w:hAnsi="Noto Sans CJK JP" w:eastAsia="Noto Sans CJK JP"/>
                <w:sz w:val="15"/>
              </w:rPr>
              <w:t>依頼候補、契約当事者、支払者、紹介者、相手方、裁判所</w:t>
            </w:r>
          </w:p>
        </w:tc>
      </w:tr>
      <w:tr>
        <w:trPr>
          <w:cantSplit/>
        </w:trPr>
        <w:tc>
          <w:tcPr>
            <w:tcW w:type="dxa" w:w="1587"/>
            <w:vAlign w:val="top"/>
            <w:tcMar>
              <w:top w:w="60" w:type="dxa"/>
              <w:start w:w="70" w:type="dxa"/>
              <w:bottom w:w="60" w:type="dxa"/>
              <w:end w:w="70" w:type="dxa"/>
            </w:tcMar>
            <w:shd w:fill="F7F9FB"/>
          </w:tcPr>
          <w:p>
            <w:pPr>
              <w:spacing w:after="0"/>
            </w:pPr>
            <w:r>
              <w:rPr>
                <w:rFonts w:ascii="Noto Sans CJK JP" w:hAnsi="Noto Sans CJK JP" w:eastAsia="Noto Sans CJK JP"/>
                <w:sz w:val="15"/>
              </w:rPr>
              <w:t>Consultation</w:t>
            </w:r>
          </w:p>
        </w:tc>
        <w:tc>
          <w:tcPr>
            <w:tcW w:type="dxa" w:w="3118"/>
            <w:vAlign w:val="top"/>
            <w:tcMar>
              <w:top w:w="60" w:type="dxa"/>
              <w:start w:w="70" w:type="dxa"/>
              <w:bottom w:w="60" w:type="dxa"/>
              <w:end w:w="70" w:type="dxa"/>
            </w:tcMar>
            <w:shd w:fill="F7F9FB"/>
          </w:tcPr>
          <w:p>
            <w:pPr>
              <w:spacing w:after="0"/>
            </w:pPr>
            <w:r>
              <w:rPr>
                <w:rFonts w:ascii="Noto Sans CJK JP" w:hAnsi="Noto Sans CJK JP" w:eastAsia="Noto Sans CJK JP"/>
                <w:sz w:val="15"/>
              </w:rPr>
              <w:t>受任前ファネル</w:t>
            </w:r>
          </w:p>
        </w:tc>
        <w:tc>
          <w:tcPr>
            <w:tcW w:type="dxa" w:w="2438"/>
            <w:vAlign w:val="top"/>
            <w:tcMar>
              <w:top w:w="60" w:type="dxa"/>
              <w:start w:w="70" w:type="dxa"/>
              <w:bottom w:w="60" w:type="dxa"/>
              <w:end w:w="70" w:type="dxa"/>
            </w:tcMar>
            <w:shd w:fill="F7F9FB"/>
          </w:tcPr>
          <w:p>
            <w:pPr>
              <w:spacing w:after="0"/>
            </w:pPr>
            <w:r>
              <w:rPr>
                <w:rFonts w:ascii="Noto Sans CJK JP" w:hAnsi="Noto Sans CJK JP" w:eastAsia="Noto Sans CJK JP"/>
                <w:sz w:val="15"/>
              </w:rPr>
              <w:t>SF Consultation Id</w:t>
            </w:r>
          </w:p>
        </w:tc>
        <w:tc>
          <w:tcPr>
            <w:tcW w:type="dxa" w:w="2948"/>
            <w:vAlign w:val="top"/>
            <w:tcMar>
              <w:top w:w="60" w:type="dxa"/>
              <w:start w:w="70" w:type="dxa"/>
              <w:bottom w:w="60" w:type="dxa"/>
              <w:end w:w="70" w:type="dxa"/>
            </w:tcMar>
            <w:shd w:fill="F7F9FB"/>
          </w:tcPr>
          <w:p>
            <w:pPr>
              <w:spacing w:after="0"/>
            </w:pPr>
            <w:r>
              <w:rPr>
                <w:rFonts w:ascii="Noto Sans CJK JP" w:hAnsi="Noto Sans CJK JP" w:eastAsia="Noto Sans CJK JP"/>
                <w:sz w:val="15"/>
              </w:rPr>
              <w:t>問合せ、コンフリ、相談、提案、失注/変換</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5"/>
              </w:rPr>
              <w:t>Matter / Procedure</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5"/>
              </w:rPr>
              <w:t>受任後案件と手続</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SF Matter Id / court_case_key</w:t>
            </w:r>
          </w:p>
        </w:tc>
        <w:tc>
          <w:tcPr>
            <w:tcW w:type="dxa" w:w="2948"/>
            <w:vAlign w:val="top"/>
            <w:tcMar>
              <w:top w:w="60" w:type="dxa"/>
              <w:start w:w="70" w:type="dxa"/>
              <w:bottom w:w="60" w:type="dxa"/>
              <w:end w:w="70" w:type="dxa"/>
            </w:tcMar>
          </w:tcPr>
          <w:p>
            <w:pPr>
              <w:spacing w:after="0"/>
            </w:pPr>
            <w:r>
              <w:rPr>
                <w:rFonts w:ascii="Noto Sans CJK JP" w:hAnsi="Noto Sans CJK JP" w:eastAsia="Noto Sans CJK JP"/>
                <w:sz w:val="15"/>
              </w:rPr>
              <w:t>交渉、調停、訴訟、執行を1案件内で分離</w:t>
            </w:r>
          </w:p>
        </w:tc>
      </w:tr>
      <w:tr>
        <w:trPr>
          <w:cantSplit/>
        </w:trPr>
        <w:tc>
          <w:tcPr>
            <w:tcW w:type="dxa" w:w="1587"/>
            <w:vAlign w:val="top"/>
            <w:tcMar>
              <w:top w:w="60" w:type="dxa"/>
              <w:start w:w="70" w:type="dxa"/>
              <w:bottom w:w="60" w:type="dxa"/>
              <w:end w:w="70" w:type="dxa"/>
            </w:tcMar>
            <w:shd w:fill="F7F9FB"/>
          </w:tcPr>
          <w:p>
            <w:pPr>
              <w:spacing w:after="0"/>
            </w:pPr>
            <w:r>
              <w:rPr>
                <w:rFonts w:ascii="Noto Sans CJK JP" w:hAnsi="Noto Sans CJK JP" w:eastAsia="Noto Sans CJK JP"/>
                <w:sz w:val="15"/>
              </w:rPr>
              <w:t>Event</w:t>
            </w:r>
          </w:p>
        </w:tc>
        <w:tc>
          <w:tcPr>
            <w:tcW w:type="dxa" w:w="3118"/>
            <w:vAlign w:val="top"/>
            <w:tcMar>
              <w:top w:w="60" w:type="dxa"/>
              <w:start w:w="70" w:type="dxa"/>
              <w:bottom w:w="60" w:type="dxa"/>
              <w:end w:w="70" w:type="dxa"/>
            </w:tcMar>
            <w:shd w:fill="F7F9FB"/>
          </w:tcPr>
          <w:p>
            <w:pPr>
              <w:spacing w:after="0"/>
            </w:pPr>
            <w:r>
              <w:rPr>
                <w:rFonts w:ascii="Noto Sans CJK JP" w:hAnsi="Noto Sans CJK JP" w:eastAsia="Noto Sans CJK JP"/>
                <w:sz w:val="15"/>
              </w:rPr>
              <w:t>観測された出来事</w:t>
            </w:r>
          </w:p>
        </w:tc>
        <w:tc>
          <w:tcPr>
            <w:tcW w:type="dxa" w:w="2438"/>
            <w:vAlign w:val="top"/>
            <w:tcMar>
              <w:top w:w="60" w:type="dxa"/>
              <w:start w:w="70" w:type="dxa"/>
              <w:bottom w:w="60" w:type="dxa"/>
              <w:end w:w="70" w:type="dxa"/>
            </w:tcMar>
            <w:shd w:fill="F7F9FB"/>
          </w:tcPr>
          <w:p>
            <w:pPr>
              <w:spacing w:after="0"/>
            </w:pPr>
            <w:r>
              <w:rPr>
                <w:rFonts w:ascii="Noto Sans CJK JP" w:hAnsi="Noto Sans CJK JP" w:eastAsia="Noto Sans CJK JP"/>
                <w:sz w:val="15"/>
              </w:rPr>
              <w:t>event_id + source native ID</w:t>
            </w:r>
          </w:p>
        </w:tc>
        <w:tc>
          <w:tcPr>
            <w:tcW w:type="dxa" w:w="2948"/>
            <w:vAlign w:val="top"/>
            <w:tcMar>
              <w:top w:w="60" w:type="dxa"/>
              <w:start w:w="70" w:type="dxa"/>
              <w:bottom w:w="60" w:type="dxa"/>
              <w:end w:w="70" w:type="dxa"/>
            </w:tcMar>
            <w:shd w:fill="F7F9FB"/>
          </w:tcPr>
          <w:p>
            <w:pPr>
              <w:spacing w:after="0"/>
            </w:pPr>
            <w:r>
              <w:rPr>
                <w:rFonts w:ascii="Noto Sans CJK JP" w:hAnsi="Noto Sans CJK JP" w:eastAsia="Noto Sans CJK JP"/>
                <w:sz w:val="15"/>
              </w:rPr>
              <w:t>メール受信、通話終了、資料受領、提案送付、入金</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5"/>
              </w:rPr>
              <w:t>WorkItem</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5"/>
              </w:rPr>
              <w:t>誰が何をいつまでに</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work_item_id</w:t>
            </w:r>
          </w:p>
        </w:tc>
        <w:tc>
          <w:tcPr>
            <w:tcW w:type="dxa" w:w="2948"/>
            <w:vAlign w:val="top"/>
            <w:tcMar>
              <w:top w:w="60" w:type="dxa"/>
              <w:start w:w="70" w:type="dxa"/>
              <w:bottom w:w="60" w:type="dxa"/>
              <w:end w:w="70" w:type="dxa"/>
            </w:tcMar>
          </w:tcPr>
          <w:p>
            <w:pPr>
              <w:spacing w:after="0"/>
            </w:pPr>
            <w:r>
              <w:rPr>
                <w:rFonts w:ascii="Noto Sans CJK JP" w:hAnsi="Noto Sans CJK JP" w:eastAsia="Noto Sans CJK JP"/>
                <w:sz w:val="15"/>
              </w:rPr>
              <w:t>owner、due_at、waiting_on、completion evidence</w:t>
            </w:r>
          </w:p>
        </w:tc>
      </w:tr>
      <w:tr>
        <w:trPr>
          <w:cantSplit/>
        </w:trPr>
        <w:tc>
          <w:tcPr>
            <w:tcW w:type="dxa" w:w="1587"/>
            <w:vAlign w:val="top"/>
            <w:tcMar>
              <w:top w:w="60" w:type="dxa"/>
              <w:start w:w="70" w:type="dxa"/>
              <w:bottom w:w="60" w:type="dxa"/>
              <w:end w:w="70" w:type="dxa"/>
            </w:tcMar>
            <w:shd w:fill="F7F9FB"/>
          </w:tcPr>
          <w:p>
            <w:pPr>
              <w:spacing w:after="0"/>
            </w:pPr>
            <w:r>
              <w:rPr>
                <w:rFonts w:ascii="Noto Sans CJK JP" w:hAnsi="Noto Sans CJK JP" w:eastAsia="Noto Sans CJK JP"/>
                <w:sz w:val="15"/>
              </w:rPr>
              <w:t>Decision</w:t>
            </w:r>
          </w:p>
        </w:tc>
        <w:tc>
          <w:tcPr>
            <w:tcW w:type="dxa" w:w="3118"/>
            <w:vAlign w:val="top"/>
            <w:tcMar>
              <w:top w:w="60" w:type="dxa"/>
              <w:start w:w="70" w:type="dxa"/>
              <w:bottom w:w="60" w:type="dxa"/>
              <w:end w:w="70" w:type="dxa"/>
            </w:tcMar>
            <w:shd w:fill="F7F9FB"/>
          </w:tcPr>
          <w:p>
            <w:pPr>
              <w:spacing w:after="0"/>
            </w:pPr>
            <w:r>
              <w:rPr>
                <w:rFonts w:ascii="Noto Sans CJK JP" w:hAnsi="Noto Sans CJK JP" w:eastAsia="Noto Sans CJK JP"/>
                <w:sz w:val="15"/>
              </w:rPr>
              <w:t>法務・運用判断</w:t>
            </w:r>
          </w:p>
        </w:tc>
        <w:tc>
          <w:tcPr>
            <w:tcW w:type="dxa" w:w="2438"/>
            <w:vAlign w:val="top"/>
            <w:tcMar>
              <w:top w:w="60" w:type="dxa"/>
              <w:start w:w="70" w:type="dxa"/>
              <w:bottom w:w="60" w:type="dxa"/>
              <w:end w:w="70" w:type="dxa"/>
            </w:tcMar>
            <w:shd w:fill="F7F9FB"/>
          </w:tcPr>
          <w:p>
            <w:pPr>
              <w:spacing w:after="0"/>
            </w:pPr>
            <w:r>
              <w:rPr>
                <w:rFonts w:ascii="Noto Sans CJK JP" w:hAnsi="Noto Sans CJK JP" w:eastAsia="Noto Sans CJK JP"/>
                <w:sz w:val="15"/>
              </w:rPr>
              <w:t>decision_id</w:t>
            </w:r>
          </w:p>
        </w:tc>
        <w:tc>
          <w:tcPr>
            <w:tcW w:type="dxa" w:w="2948"/>
            <w:vAlign w:val="top"/>
            <w:tcMar>
              <w:top w:w="60" w:type="dxa"/>
              <w:start w:w="70" w:type="dxa"/>
              <w:bottom w:w="60" w:type="dxa"/>
              <w:end w:w="70" w:type="dxa"/>
            </w:tcMar>
            <w:shd w:fill="F7F9FB"/>
          </w:tcPr>
          <w:p>
            <w:pPr>
              <w:spacing w:after="0"/>
            </w:pPr>
            <w:r>
              <w:rPr>
                <w:rFonts w:ascii="Noto Sans CJK JP" w:hAnsi="Noto Sans CJK JP" w:eastAsia="Noto Sans CJK JP"/>
                <w:sz w:val="15"/>
              </w:rPr>
              <w:t>コンフリ、受任、方針、レビュー、終結、値引き</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5"/>
              </w:rPr>
              <w:t>Document</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5"/>
              </w:rPr>
              <w:t>本文・版・状態</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Box file_id + version_id</w:t>
            </w:r>
          </w:p>
        </w:tc>
        <w:tc>
          <w:tcPr>
            <w:tcW w:type="dxa" w:w="2948"/>
            <w:vAlign w:val="top"/>
            <w:tcMar>
              <w:top w:w="60" w:type="dxa"/>
              <w:start w:w="70" w:type="dxa"/>
              <w:bottom w:w="60" w:type="dxa"/>
              <w:end w:w="70" w:type="dxa"/>
            </w:tcMar>
          </w:tcPr>
          <w:p>
            <w:pPr>
              <w:spacing w:after="0"/>
            </w:pPr>
            <w:r>
              <w:rPr>
                <w:rFonts w:ascii="Noto Sans CJK JP" w:hAnsi="Noto Sans CJK JP" w:eastAsia="Noto Sans CJK JP"/>
                <w:sz w:val="15"/>
              </w:rPr>
              <w:t>受領、ドラフト、承認、送付、提出、受理、廃版</w:t>
            </w:r>
          </w:p>
        </w:tc>
      </w:tr>
      <w:tr>
        <w:trPr>
          <w:cantSplit/>
        </w:trPr>
        <w:tc>
          <w:tcPr>
            <w:tcW w:type="dxa" w:w="1587"/>
            <w:vAlign w:val="top"/>
            <w:tcMar>
              <w:top w:w="60" w:type="dxa"/>
              <w:start w:w="70" w:type="dxa"/>
              <w:bottom w:w="60" w:type="dxa"/>
              <w:end w:w="70" w:type="dxa"/>
            </w:tcMar>
            <w:shd w:fill="F7F9FB"/>
          </w:tcPr>
          <w:p>
            <w:pPr>
              <w:spacing w:after="0"/>
            </w:pPr>
            <w:r>
              <w:rPr>
                <w:rFonts w:ascii="Noto Sans CJK JP" w:hAnsi="Noto Sans CJK JP" w:eastAsia="Noto Sans CJK JP"/>
                <w:sz w:val="15"/>
              </w:rPr>
              <w:t>DeliverablePackage</w:t>
            </w:r>
          </w:p>
        </w:tc>
        <w:tc>
          <w:tcPr>
            <w:tcW w:type="dxa" w:w="3118"/>
            <w:vAlign w:val="top"/>
            <w:tcMar>
              <w:top w:w="60" w:type="dxa"/>
              <w:start w:w="70" w:type="dxa"/>
              <w:bottom w:w="60" w:type="dxa"/>
              <w:end w:w="70" w:type="dxa"/>
            </w:tcMar>
            <w:shd w:fill="F7F9FB"/>
          </w:tcPr>
          <w:p>
            <w:pPr>
              <w:spacing w:after="0"/>
            </w:pPr>
            <w:r>
              <w:rPr>
                <w:rFonts w:ascii="Noto Sans CJK JP" w:hAnsi="Noto Sans CJK JP" w:eastAsia="Noto Sans CJK JP"/>
                <w:sz w:val="15"/>
              </w:rPr>
              <w:t>複数文書の納品単位</w:t>
            </w:r>
          </w:p>
        </w:tc>
        <w:tc>
          <w:tcPr>
            <w:tcW w:type="dxa" w:w="2438"/>
            <w:vAlign w:val="top"/>
            <w:tcMar>
              <w:top w:w="60" w:type="dxa"/>
              <w:start w:w="70" w:type="dxa"/>
              <w:bottom w:w="60" w:type="dxa"/>
              <w:end w:w="70" w:type="dxa"/>
            </w:tcMar>
            <w:shd w:fill="F7F9FB"/>
          </w:tcPr>
          <w:p>
            <w:pPr>
              <w:spacing w:after="0"/>
            </w:pPr>
            <w:r>
              <w:rPr>
                <w:rFonts w:ascii="Noto Sans CJK JP" w:hAnsi="Noto Sans CJK JP" w:eastAsia="Noto Sans CJK JP"/>
                <w:sz w:val="15"/>
              </w:rPr>
              <w:t>package_id</w:t>
            </w:r>
          </w:p>
        </w:tc>
        <w:tc>
          <w:tcPr>
            <w:tcW w:type="dxa" w:w="2948"/>
            <w:vAlign w:val="top"/>
            <w:tcMar>
              <w:top w:w="60" w:type="dxa"/>
              <w:start w:w="70" w:type="dxa"/>
              <w:bottom w:w="60" w:type="dxa"/>
              <w:end w:w="70" w:type="dxa"/>
            </w:tcMar>
            <w:shd w:fill="F7F9FB"/>
          </w:tcPr>
          <w:p>
            <w:pPr>
              <w:spacing w:after="0"/>
            </w:pPr>
            <w:r>
              <w:rPr>
                <w:rFonts w:ascii="Noto Sans CJK JP" w:hAnsi="Noto Sans CJK JP" w:eastAsia="Noto Sans CJK JP"/>
                <w:sz w:val="15"/>
              </w:rPr>
              <w:t>見積＋契約案、裁判所提出一式、終了パック</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5"/>
              </w:rPr>
              <w:t>Deadline</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5"/>
              </w:rPr>
              <w:t>期限と起算根拠</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deadline_id</w:t>
            </w:r>
          </w:p>
        </w:tc>
        <w:tc>
          <w:tcPr>
            <w:tcW w:type="dxa" w:w="2948"/>
            <w:vAlign w:val="top"/>
            <w:tcMar>
              <w:top w:w="60" w:type="dxa"/>
              <w:start w:w="70" w:type="dxa"/>
              <w:bottom w:w="60" w:type="dxa"/>
              <w:end w:w="70" w:type="dxa"/>
            </w:tcMar>
          </w:tcPr>
          <w:p>
            <w:pPr>
              <w:spacing w:after="0"/>
            </w:pPr>
            <w:r>
              <w:rPr>
                <w:rFonts w:ascii="Noto Sans CJK JP" w:hAnsi="Noto Sans CJK JP" w:eastAsia="Noto Sans CJK JP"/>
                <w:sz w:val="15"/>
              </w:rPr>
              <w:t>法定、裁判所、相手方、顧客、所内、支払、フォロー</w:t>
            </w:r>
          </w:p>
        </w:tc>
      </w:tr>
      <w:tr>
        <w:trPr>
          <w:cantSplit/>
        </w:trPr>
        <w:tc>
          <w:tcPr>
            <w:tcW w:type="dxa" w:w="1587"/>
            <w:vAlign w:val="top"/>
            <w:tcMar>
              <w:top w:w="60" w:type="dxa"/>
              <w:start w:w="70" w:type="dxa"/>
              <w:bottom w:w="60" w:type="dxa"/>
              <w:end w:w="70" w:type="dxa"/>
            </w:tcMar>
            <w:shd w:fill="F7F9FB"/>
          </w:tcPr>
          <w:p>
            <w:pPr>
              <w:spacing w:after="0"/>
            </w:pPr>
            <w:r>
              <w:rPr>
                <w:rFonts w:ascii="Noto Sans CJK JP" w:hAnsi="Noto Sans CJK JP" w:eastAsia="Noto Sans CJK JP"/>
                <w:sz w:val="15"/>
              </w:rPr>
              <w:t>Finance</w:t>
            </w:r>
          </w:p>
        </w:tc>
        <w:tc>
          <w:tcPr>
            <w:tcW w:type="dxa" w:w="3118"/>
            <w:vAlign w:val="top"/>
            <w:tcMar>
              <w:top w:w="60" w:type="dxa"/>
              <w:start w:w="70" w:type="dxa"/>
              <w:bottom w:w="60" w:type="dxa"/>
              <w:end w:w="70" w:type="dxa"/>
            </w:tcMar>
            <w:shd w:fill="F7F9FB"/>
          </w:tcPr>
          <w:p>
            <w:pPr>
              <w:spacing w:after="0"/>
            </w:pPr>
            <w:r>
              <w:rPr>
                <w:rFonts w:ascii="Noto Sans CJK JP" w:hAnsi="Noto Sans CJK JP" w:eastAsia="Noto Sans CJK JP"/>
                <w:sz w:val="15"/>
              </w:rPr>
              <w:t>見積・請求・入出金・預り金</w:t>
            </w:r>
          </w:p>
        </w:tc>
        <w:tc>
          <w:tcPr>
            <w:tcW w:type="dxa" w:w="2438"/>
            <w:vAlign w:val="top"/>
            <w:tcMar>
              <w:top w:w="60" w:type="dxa"/>
              <w:start w:w="70" w:type="dxa"/>
              <w:bottom w:w="60" w:type="dxa"/>
              <w:end w:w="70" w:type="dxa"/>
            </w:tcMar>
            <w:shd w:fill="F7F9FB"/>
          </w:tcPr>
          <w:p>
            <w:pPr>
              <w:spacing w:after="0"/>
            </w:pPr>
            <w:r>
              <w:rPr>
                <w:rFonts w:ascii="Noto Sans CJK JP" w:hAnsi="Noto Sans CJK JP" w:eastAsia="Noto Sans CJK JP"/>
                <w:sz w:val="15"/>
              </w:rPr>
              <w:t>invoice/transaction/ledger id</w:t>
            </w:r>
          </w:p>
        </w:tc>
        <w:tc>
          <w:tcPr>
            <w:tcW w:type="dxa" w:w="2948"/>
            <w:vAlign w:val="top"/>
            <w:tcMar>
              <w:top w:w="60" w:type="dxa"/>
              <w:start w:w="70" w:type="dxa"/>
              <w:bottom w:w="60" w:type="dxa"/>
              <w:end w:w="70" w:type="dxa"/>
            </w:tcMar>
            <w:shd w:fill="F7F9FB"/>
          </w:tcPr>
          <w:p>
            <w:pPr>
              <w:spacing w:after="0"/>
            </w:pPr>
            <w:r>
              <w:rPr>
                <w:rFonts w:ascii="Noto Sans CJK JP" w:hAnsi="Noto Sans CJK JP" w:eastAsia="Noto Sans CJK JP"/>
                <w:sz w:val="15"/>
              </w:rPr>
              <w:t>client_party、payer_party、fee type、balance</w:t>
            </w:r>
          </w:p>
        </w:tc>
      </w:tr>
      <w:tr>
        <w:trPr>
          <w:cantSplit/>
        </w:trPr>
        <w:tc>
          <w:tcPr>
            <w:tcW w:type="dxa" w:w="1587"/>
            <w:vAlign w:val="top"/>
            <w:tcMar>
              <w:top w:w="60" w:type="dxa"/>
              <w:start w:w="70" w:type="dxa"/>
              <w:bottom w:w="60" w:type="dxa"/>
              <w:end w:w="70" w:type="dxa"/>
            </w:tcMar>
          </w:tcPr>
          <w:p>
            <w:pPr>
              <w:spacing w:after="0"/>
            </w:pPr>
            <w:r>
              <w:rPr>
                <w:rFonts w:ascii="Noto Sans CJK JP" w:hAnsi="Noto Sans CJK JP" w:eastAsia="Noto Sans CJK JP"/>
                <w:sz w:val="15"/>
              </w:rPr>
              <w:t>Snapshot</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5"/>
              </w:rPr>
              <w:t>ある時点の意味状態</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matter_id + as_of</w:t>
            </w:r>
          </w:p>
        </w:tc>
        <w:tc>
          <w:tcPr>
            <w:tcW w:type="dxa" w:w="2948"/>
            <w:vAlign w:val="top"/>
            <w:tcMar>
              <w:top w:w="60" w:type="dxa"/>
              <w:start w:w="70" w:type="dxa"/>
              <w:bottom w:w="60" w:type="dxa"/>
              <w:end w:w="70" w:type="dxa"/>
            </w:tcMar>
          </w:tcPr>
          <w:p>
            <w:pPr>
              <w:spacing w:after="0"/>
            </w:pPr>
            <w:r>
              <w:rPr>
                <w:rFonts w:ascii="Noto Sans CJK JP" w:hAnsi="Noto Sans CJK JP" w:eastAsia="Noto Sans CJK JP"/>
                <w:sz w:val="15"/>
              </w:rPr>
              <w:t>declared_state、observed_state、next_action、quality score</w:t>
            </w:r>
          </w:p>
        </w:tc>
      </w:tr>
    </w:tbl>
    <w:p/>
    <w:p>
      <w:pPr>
        <w:pStyle w:val="Heading2"/>
      </w:pPr>
      <w:r>
        <w:t>2.1 状態機械は分離する</w:t>
      </w:r>
    </w:p>
    <w:p>
      <w:pPr>
        <w:pStyle w:val="ListBullet"/>
        <w:spacing w:after="40"/>
      </w:pPr>
      <w:r>
        <w:t>Consultation：問合せ → コンフリ → 日程 → 相談 → 提案 → 契約 → 変換/失注。</w:t>
      </w:r>
    </w:p>
    <w:p>
      <w:pPr>
        <w:pStyle w:val="ListBullet"/>
        <w:spacing w:after="40"/>
      </w:pPr>
      <w:r>
        <w:t>Matter：onboarding → active / 各種waiting → review / filing → resolution_pending → closing → closed。</w:t>
      </w:r>
    </w:p>
    <w:p>
      <w:pPr>
        <w:pStyle w:val="ListBullet"/>
        <w:spacing w:after="40"/>
      </w:pPr>
      <w:r>
        <w:t>WorkItem：open → in_progress → waiting / blocked / review → complete / cancelled。</w:t>
      </w:r>
    </w:p>
    <w:p>
      <w:pPr>
        <w:pStyle w:val="ListBullet"/>
        <w:spacing w:after="40"/>
      </w:pPr>
      <w:r>
        <w:t>Document：received → classified → draft → review → approved → sent/filed → accepted → superseded/archive。</w:t>
      </w:r>
    </w:p>
    <w:p>
      <w:pPr>
        <w:pStyle w:val="ListBullet"/>
        <w:spacing w:after="40"/>
      </w:pPr>
      <w:r>
        <w:t>Finance：quote → invoice → acknowledged → part_paid / paid / overdue → reconciled/refunded。</w:t>
      </w:r>
    </w:p>
    <w:p>
      <w:pPr>
        <w:pStyle w:val="ListBullet"/>
        <w:spacing w:after="40"/>
      </w:pPr>
      <w:r>
        <w:t>Deadline：open → changed → completed / missed / cancelled。</w:t>
      </w:r>
    </w:p>
    <w:tbl>
      <w:tblPr>
        <w:tblW w:type="auto" w:w="0"/>
        <w:jc w:val="center"/>
        <w:tblLayout w:type="autofit"/>
        <w:tblLook w:firstColumn="1" w:firstRow="1" w:lastColumn="0" w:lastRow="0" w:noHBand="0" w:noVBand="1" w:val="04A0"/>
      </w:tblPr>
      <w:tblGrid>
        <w:gridCol w:w="10086"/>
      </w:tblGrid>
      <w:tr>
        <w:tc>
          <w:tcPr>
            <w:tcW w:type="dxa" w:w="10086"/>
            <w:shd w:fill="FFF4CC"/>
            <w:tcMar>
              <w:top w:w="150" w:type="dxa"/>
              <w:start w:w="180" w:type="dxa"/>
              <w:bottom w:w="150" w:type="dxa"/>
              <w:end w:w="180" w:type="dxa"/>
            </w:tcMar>
            <w:tcBorders>
              <w:left w:val="single" w:sz="24" w:color="7A5A00"/>
            </w:tcBorders>
          </w:tcPr>
          <w:p>
            <w:r>
              <w:rPr>
                <w:b/>
                <w:color w:val="7A5A00"/>
                <w:sz w:val="22"/>
              </w:rPr>
              <w:t>declared_state と observed_state</w:t>
            </w:r>
            <w:r>
              <w:br/>
              <w:t>Salesforce上の進捗は、人が確定したdeclared_stateとして尊重する。メール・通話・Box等から推定したobserved_stateは別に保持し、不一致をreconciliation issueとして提示する。AIが勝手に正本状態を上書きしない。</w:t>
            </w:r>
          </w:p>
        </w:tc>
      </w:tr>
    </w:tbl>
    <w:p/>
    <w:p>
      <w:pPr>
        <w:pStyle w:val="Heading2"/>
      </w:pPr>
      <w:r>
        <w:t>2.2 Event Envelope の最低項目</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154"/>
            <w:shd w:fill="2F6F93"/>
            <w:vAlign w:val="center"/>
            <w:tcMar>
              <w:top w:w="70" w:type="dxa"/>
              <w:start w:w="80" w:type="dxa"/>
              <w:bottom w:w="70" w:type="dxa"/>
              <w:end w:w="80" w:type="dxa"/>
            </w:tcMar>
          </w:tcPr>
          <w:p>
            <w:pPr>
              <w:jc w:val="center"/>
            </w:pPr>
            <w:r>
              <w:rPr>
                <w:b/>
                <w:color w:val="FFFFFF"/>
                <w:sz w:val="17"/>
              </w:rPr>
              <w:t>区分</w:t>
            </w:r>
          </w:p>
        </w:tc>
        <w:tc>
          <w:tcPr>
            <w:tcW w:type="dxa" w:w="7937"/>
            <w:shd w:fill="2F6F93"/>
            <w:vAlign w:val="center"/>
            <w:tcMar>
              <w:top w:w="70" w:type="dxa"/>
              <w:start w:w="80" w:type="dxa"/>
              <w:bottom w:w="70" w:type="dxa"/>
              <w:end w:w="80" w:type="dxa"/>
            </w:tcMar>
          </w:tcPr>
          <w:p>
            <w:pPr>
              <w:jc w:val="center"/>
            </w:pPr>
            <w:r>
              <w:rPr>
                <w:b/>
                <w:color w:val="FFFFFF"/>
                <w:sz w:val="17"/>
              </w:rPr>
              <w:t>最低項目</w:t>
            </w:r>
          </w:p>
        </w:tc>
      </w:tr>
      <w:tr>
        <w:trPr>
          <w:cantSplit/>
        </w:trPr>
        <w:tc>
          <w:tcPr>
            <w:tcW w:type="dxa" w:w="2154"/>
            <w:vAlign w:val="top"/>
            <w:tcMar>
              <w:top w:w="60" w:type="dxa"/>
              <w:start w:w="70" w:type="dxa"/>
              <w:bottom w:w="60" w:type="dxa"/>
              <w:end w:w="70" w:type="dxa"/>
            </w:tcMar>
          </w:tcPr>
          <w:p>
            <w:pPr>
              <w:spacing w:after="0"/>
            </w:pPr>
            <w:r>
              <w:rPr>
                <w:rFonts w:ascii="Noto Sans CJK JP" w:hAnsi="Noto Sans CJK JP" w:eastAsia="Noto Sans CJK JP"/>
                <w:sz w:val="17"/>
              </w:rPr>
              <w:t>同一性</w:t>
            </w:r>
          </w:p>
        </w:tc>
        <w:tc>
          <w:tcPr>
            <w:tcW w:type="dxa" w:w="7937"/>
            <w:vAlign w:val="top"/>
            <w:tcMar>
              <w:top w:w="60" w:type="dxa"/>
              <w:start w:w="70" w:type="dxa"/>
              <w:bottom w:w="60" w:type="dxa"/>
              <w:end w:w="70" w:type="dxa"/>
            </w:tcMar>
          </w:tcPr>
          <w:p>
            <w:pPr>
              <w:spacing w:after="0"/>
            </w:pPr>
            <w:r>
              <w:rPr>
                <w:rFonts w:ascii="Noto Sans CJK JP" w:hAnsi="Noto Sans CJK JP" w:eastAsia="Noto Sans CJK JP"/>
                <w:sz w:val="17"/>
              </w:rPr>
              <w:t>schema_version, event_id, event_type, occurred_at, captured_at</w:t>
            </w:r>
          </w:p>
        </w:tc>
      </w:tr>
      <w:tr>
        <w:trPr>
          <w:cantSplit/>
        </w:trPr>
        <w:tc>
          <w:tcPr>
            <w:tcW w:type="dxa" w:w="2154"/>
            <w:vAlign w:val="top"/>
            <w:tcMar>
              <w:top w:w="60" w:type="dxa"/>
              <w:start w:w="70" w:type="dxa"/>
              <w:bottom w:w="60" w:type="dxa"/>
              <w:end w:w="70" w:type="dxa"/>
            </w:tcMar>
            <w:shd w:fill="F7F9FB"/>
          </w:tcPr>
          <w:p>
            <w:pPr>
              <w:spacing w:after="0"/>
            </w:pPr>
            <w:r>
              <w:rPr>
                <w:rFonts w:ascii="Noto Sans CJK JP" w:hAnsi="Noto Sans CJK JP" w:eastAsia="Noto Sans CJK JP"/>
                <w:sz w:val="17"/>
              </w:rPr>
              <w:t>案件参照</w:t>
            </w:r>
          </w:p>
        </w:tc>
        <w:tc>
          <w:tcPr>
            <w:tcW w:type="dxa" w:w="7937"/>
            <w:vAlign w:val="top"/>
            <w:tcMar>
              <w:top w:w="60" w:type="dxa"/>
              <w:start w:w="70" w:type="dxa"/>
              <w:bottom w:w="60" w:type="dxa"/>
              <w:end w:w="70" w:type="dxa"/>
            </w:tcMar>
            <w:shd w:fill="F7F9FB"/>
          </w:tcPr>
          <w:p>
            <w:pPr>
              <w:spacing w:after="0"/>
            </w:pPr>
            <w:r>
              <w:rPr>
                <w:rFonts w:ascii="Noto Sans CJK JP" w:hAnsi="Noto Sans CJK JP" w:eastAsia="Noto Sans CJK JP"/>
                <w:sz w:val="17"/>
              </w:rPr>
              <w:t>matter_ref, consultation_ref, party refs</w:t>
            </w:r>
          </w:p>
        </w:tc>
      </w:tr>
      <w:tr>
        <w:trPr>
          <w:cantSplit/>
        </w:trPr>
        <w:tc>
          <w:tcPr>
            <w:tcW w:type="dxa" w:w="2154"/>
            <w:vAlign w:val="top"/>
            <w:tcMar>
              <w:top w:w="60" w:type="dxa"/>
              <w:start w:w="70" w:type="dxa"/>
              <w:bottom w:w="60" w:type="dxa"/>
              <w:end w:w="70" w:type="dxa"/>
            </w:tcMar>
          </w:tcPr>
          <w:p>
            <w:pPr>
              <w:spacing w:after="0"/>
            </w:pPr>
            <w:r>
              <w:rPr>
                <w:rFonts w:ascii="Noto Sans CJK JP" w:hAnsi="Noto Sans CJK JP" w:eastAsia="Noto Sans CJK JP"/>
                <w:sz w:val="17"/>
              </w:rPr>
              <w:t>元ソース</w:t>
            </w:r>
          </w:p>
        </w:tc>
        <w:tc>
          <w:tcPr>
            <w:tcW w:type="dxa" w:w="7937"/>
            <w:vAlign w:val="top"/>
            <w:tcMar>
              <w:top w:w="60" w:type="dxa"/>
              <w:start w:w="70" w:type="dxa"/>
              <w:bottom w:w="60" w:type="dxa"/>
              <w:end w:w="70" w:type="dxa"/>
            </w:tcMar>
          </w:tcPr>
          <w:p>
            <w:pPr>
              <w:spacing w:after="0"/>
            </w:pPr>
            <w:r>
              <w:rPr>
                <w:rFonts w:ascii="Noto Sans CJK JP" w:hAnsi="Noto Sans CJK JP" w:eastAsia="Noto Sans CJK JP"/>
                <w:sz w:val="17"/>
              </w:rPr>
              <w:t>system, native_id, source_kind, thread_id, content_hash, source_timestamp</w:t>
            </w:r>
          </w:p>
        </w:tc>
      </w:tr>
      <w:tr>
        <w:trPr>
          <w:cantSplit/>
        </w:trPr>
        <w:tc>
          <w:tcPr>
            <w:tcW w:type="dxa" w:w="2154"/>
            <w:vAlign w:val="top"/>
            <w:tcMar>
              <w:top w:w="60" w:type="dxa"/>
              <w:start w:w="70" w:type="dxa"/>
              <w:bottom w:w="60" w:type="dxa"/>
              <w:end w:w="70" w:type="dxa"/>
            </w:tcMar>
            <w:shd w:fill="F7F9FB"/>
          </w:tcPr>
          <w:p>
            <w:pPr>
              <w:spacing w:after="0"/>
            </w:pPr>
            <w:r>
              <w:rPr>
                <w:rFonts w:ascii="Noto Sans CJK JP" w:hAnsi="Noto Sans CJK JP" w:eastAsia="Noto Sans CJK JP"/>
                <w:sz w:val="17"/>
              </w:rPr>
              <w:t>意味</w:t>
            </w:r>
          </w:p>
        </w:tc>
        <w:tc>
          <w:tcPr>
            <w:tcW w:type="dxa" w:w="7937"/>
            <w:vAlign w:val="top"/>
            <w:tcMar>
              <w:top w:w="60" w:type="dxa"/>
              <w:start w:w="70" w:type="dxa"/>
              <w:bottom w:w="60" w:type="dxa"/>
              <w:end w:w="70" w:type="dxa"/>
            </w:tcMar>
            <w:shd w:fill="F7F9FB"/>
          </w:tcPr>
          <w:p>
            <w:pPr>
              <w:spacing w:after="0"/>
            </w:pPr>
            <w:r>
              <w:rPr>
                <w:rFonts w:ascii="Noto Sans CJK JP" w:hAnsi="Noto Sans CJK JP" w:eastAsia="Noto Sans CJK JP"/>
                <w:sz w:val="17"/>
              </w:rPr>
              <w:t>summary, extracted_facts, state_transition, deadlines</w:t>
            </w:r>
          </w:p>
        </w:tc>
      </w:tr>
      <w:tr>
        <w:trPr>
          <w:cantSplit/>
        </w:trPr>
        <w:tc>
          <w:tcPr>
            <w:tcW w:type="dxa" w:w="2154"/>
            <w:vAlign w:val="top"/>
            <w:tcMar>
              <w:top w:w="60" w:type="dxa"/>
              <w:start w:w="70" w:type="dxa"/>
              <w:bottom w:w="60" w:type="dxa"/>
              <w:end w:w="70" w:type="dxa"/>
            </w:tcMar>
          </w:tcPr>
          <w:p>
            <w:pPr>
              <w:spacing w:after="0"/>
            </w:pPr>
            <w:r>
              <w:rPr>
                <w:rFonts w:ascii="Noto Sans CJK JP" w:hAnsi="Noto Sans CJK JP" w:eastAsia="Noto Sans CJK JP"/>
                <w:sz w:val="17"/>
              </w:rPr>
              <w:t>作業/文書/財務</w:t>
            </w:r>
          </w:p>
        </w:tc>
        <w:tc>
          <w:tcPr>
            <w:tcW w:type="dxa" w:w="7937"/>
            <w:vAlign w:val="top"/>
            <w:tcMar>
              <w:top w:w="60" w:type="dxa"/>
              <w:start w:w="70" w:type="dxa"/>
              <w:bottom w:w="60" w:type="dxa"/>
              <w:end w:w="70" w:type="dxa"/>
            </w:tcMar>
          </w:tcPr>
          <w:p>
            <w:pPr>
              <w:spacing w:after="0"/>
            </w:pPr>
            <w:r>
              <w:rPr>
                <w:rFonts w:ascii="Noto Sans CJK JP" w:hAnsi="Noto Sans CJK JP" w:eastAsia="Noto Sans CJK JP"/>
                <w:sz w:val="17"/>
              </w:rPr>
              <w:t>work_item, document_refs, decision, finance</w:t>
            </w:r>
          </w:p>
        </w:tc>
      </w:tr>
      <w:tr>
        <w:trPr>
          <w:cantSplit/>
        </w:trPr>
        <w:tc>
          <w:tcPr>
            <w:tcW w:type="dxa" w:w="2154"/>
            <w:vAlign w:val="top"/>
            <w:tcMar>
              <w:top w:w="60" w:type="dxa"/>
              <w:start w:w="70" w:type="dxa"/>
              <w:bottom w:w="60" w:type="dxa"/>
              <w:end w:w="70" w:type="dxa"/>
            </w:tcMar>
            <w:shd w:fill="F7F9FB"/>
          </w:tcPr>
          <w:p>
            <w:pPr>
              <w:spacing w:after="0"/>
            </w:pPr>
            <w:r>
              <w:rPr>
                <w:rFonts w:ascii="Noto Sans CJK JP" w:hAnsi="Noto Sans CJK JP" w:eastAsia="Noto Sans CJK JP"/>
                <w:sz w:val="17"/>
              </w:rPr>
              <w:t>品質</w:t>
            </w:r>
          </w:p>
        </w:tc>
        <w:tc>
          <w:tcPr>
            <w:tcW w:type="dxa" w:w="7937"/>
            <w:vAlign w:val="top"/>
            <w:tcMar>
              <w:top w:w="60" w:type="dxa"/>
              <w:start w:w="70" w:type="dxa"/>
              <w:bottom w:w="60" w:type="dxa"/>
              <w:end w:w="70" w:type="dxa"/>
            </w:tcMar>
            <w:shd w:fill="F7F9FB"/>
          </w:tcPr>
          <w:p>
            <w:pPr>
              <w:spacing w:after="0"/>
            </w:pPr>
            <w:r>
              <w:rPr>
                <w:rFonts w:ascii="Noto Sans CJK JP" w:hAnsi="Noto Sans CJK JP" w:eastAsia="Noto Sans CJK JP"/>
                <w:sz w:val="17"/>
              </w:rPr>
              <w:t>confidence, human review status/reviewer/time</w:t>
            </w:r>
          </w:p>
        </w:tc>
      </w:tr>
      <w:tr>
        <w:trPr>
          <w:cantSplit/>
        </w:trPr>
        <w:tc>
          <w:tcPr>
            <w:tcW w:type="dxa" w:w="2154"/>
            <w:vAlign w:val="top"/>
            <w:tcMar>
              <w:top w:w="60" w:type="dxa"/>
              <w:start w:w="70" w:type="dxa"/>
              <w:bottom w:w="60" w:type="dxa"/>
              <w:end w:w="70" w:type="dxa"/>
            </w:tcMar>
          </w:tcPr>
          <w:p>
            <w:pPr>
              <w:spacing w:after="0"/>
            </w:pPr>
            <w:r>
              <w:rPr>
                <w:rFonts w:ascii="Noto Sans CJK JP" w:hAnsi="Noto Sans CJK JP" w:eastAsia="Noto Sans CJK JP"/>
                <w:sz w:val="17"/>
              </w:rPr>
              <w:t>再現性</w:t>
            </w:r>
          </w:p>
        </w:tc>
        <w:tc>
          <w:tcPr>
            <w:tcW w:type="dxa" w:w="7937"/>
            <w:vAlign w:val="top"/>
            <w:tcMar>
              <w:top w:w="60" w:type="dxa"/>
              <w:start w:w="70" w:type="dxa"/>
              <w:bottom w:w="60" w:type="dxa"/>
              <w:end w:w="70" w:type="dxa"/>
            </w:tcMar>
          </w:tcPr>
          <w:p>
            <w:pPr>
              <w:spacing w:after="0"/>
            </w:pPr>
            <w:r>
              <w:rPr>
                <w:rFonts w:ascii="Noto Sans CJK JP" w:hAnsi="Noto Sans CJK JP" w:eastAsia="Noto Sans CJK JP"/>
                <w:sz w:val="17"/>
              </w:rPr>
              <w:t>ingest_run_id, extractor/model/policy version, source_refs, payload_hash</w:t>
            </w:r>
          </w:p>
        </w:tc>
      </w:tr>
      <w:tr>
        <w:trPr>
          <w:cantSplit/>
        </w:trPr>
        <w:tc>
          <w:tcPr>
            <w:tcW w:type="dxa" w:w="2154"/>
            <w:vAlign w:val="top"/>
            <w:tcMar>
              <w:top w:w="60" w:type="dxa"/>
              <w:start w:w="70" w:type="dxa"/>
              <w:bottom w:w="60" w:type="dxa"/>
              <w:end w:w="70" w:type="dxa"/>
            </w:tcMar>
            <w:shd w:fill="F7F9FB"/>
          </w:tcPr>
          <w:p>
            <w:pPr>
              <w:spacing w:after="0"/>
            </w:pPr>
            <w:r>
              <w:rPr>
                <w:rFonts w:ascii="Noto Sans CJK JP" w:hAnsi="Noto Sans CJK JP" w:eastAsia="Noto Sans CJK JP"/>
                <w:sz w:val="17"/>
              </w:rPr>
              <w:t>訂正</w:t>
            </w:r>
          </w:p>
        </w:tc>
        <w:tc>
          <w:tcPr>
            <w:tcW w:type="dxa" w:w="7937"/>
            <w:vAlign w:val="top"/>
            <w:tcMar>
              <w:top w:w="60" w:type="dxa"/>
              <w:start w:w="70" w:type="dxa"/>
              <w:bottom w:w="60" w:type="dxa"/>
              <w:end w:w="70" w:type="dxa"/>
            </w:tcMar>
            <w:shd w:fill="F7F9FB"/>
          </w:tcPr>
          <w:p>
            <w:pPr>
              <w:spacing w:after="0"/>
            </w:pPr>
            <w:r>
              <w:rPr>
                <w:rFonts w:ascii="Noto Sans CJK JP" w:hAnsi="Noto Sans CJK JP" w:eastAsia="Noto Sans CJK JP"/>
                <w:sz w:val="17"/>
              </w:rPr>
              <w:t>invalidates_event_ids。rawを削除せず、誤イベントを無効化して新イベントを追加</w:t>
            </w:r>
          </w:p>
        </w:tc>
      </w:tr>
    </w:tbl>
    <w:p/>
    <w:p>
      <w:pPr>
        <w:pStyle w:val="Heading1"/>
        <w:pBdr>
          <w:bottom w:val="single" w:sz="8" w:space="4" w:color="2F6F93"/>
        </w:pBdr>
      </w:pPr>
      <w:r>
        <w:t>3. End-to-End フロー仮説</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701"/>
            <w:shd w:fill="2F6F93"/>
            <w:vAlign w:val="center"/>
            <w:tcMar>
              <w:top w:w="70" w:type="dxa"/>
              <w:start w:w="80" w:type="dxa"/>
              <w:bottom w:w="70" w:type="dxa"/>
              <w:end w:w="80" w:type="dxa"/>
            </w:tcMar>
          </w:tcPr>
          <w:p>
            <w:pPr>
              <w:jc w:val="center"/>
            </w:pPr>
            <w:r>
              <w:rPr>
                <w:b/>
                <w:color w:val="FFFFFF"/>
                <w:sz w:val="15"/>
              </w:rPr>
              <w:t>区分</w:t>
            </w:r>
          </w:p>
        </w:tc>
        <w:tc>
          <w:tcPr>
            <w:tcW w:type="dxa" w:w="3572"/>
            <w:shd w:fill="2F6F93"/>
            <w:vAlign w:val="center"/>
            <w:tcMar>
              <w:top w:w="70" w:type="dxa"/>
              <w:start w:w="80" w:type="dxa"/>
              <w:bottom w:w="70" w:type="dxa"/>
              <w:end w:w="80" w:type="dxa"/>
            </w:tcMar>
          </w:tcPr>
          <w:p>
            <w:pPr>
              <w:jc w:val="center"/>
            </w:pPr>
            <w:r>
              <w:rPr>
                <w:b/>
                <w:color w:val="FFFFFF"/>
                <w:sz w:val="15"/>
              </w:rPr>
              <w:t>工程</w:t>
            </w:r>
          </w:p>
        </w:tc>
        <w:tc>
          <w:tcPr>
            <w:tcW w:type="dxa" w:w="2665"/>
            <w:shd w:fill="2F6F93"/>
            <w:vAlign w:val="center"/>
            <w:tcMar>
              <w:top w:w="70" w:type="dxa"/>
              <w:start w:w="80" w:type="dxa"/>
              <w:bottom w:w="70" w:type="dxa"/>
              <w:end w:w="80" w:type="dxa"/>
            </w:tcMar>
          </w:tcPr>
          <w:p>
            <w:pPr>
              <w:jc w:val="center"/>
            </w:pPr>
            <w:r>
              <w:rPr>
                <w:b/>
                <w:color w:val="FFFFFF"/>
                <w:sz w:val="15"/>
              </w:rPr>
              <w:t>主なゲート</w:t>
            </w:r>
          </w:p>
        </w:tc>
        <w:tc>
          <w:tcPr>
            <w:tcW w:type="dxa" w:w="2835"/>
            <w:shd w:fill="2F6F93"/>
            <w:vAlign w:val="center"/>
            <w:tcMar>
              <w:top w:w="70" w:type="dxa"/>
              <w:start w:w="80" w:type="dxa"/>
              <w:bottom w:w="70" w:type="dxa"/>
              <w:end w:w="80" w:type="dxa"/>
            </w:tcMar>
          </w:tcPr>
          <w:p>
            <w:pPr>
              <w:jc w:val="center"/>
            </w:pPr>
            <w:r>
              <w:rPr>
                <w:b/>
                <w:color w:val="FFFFFF"/>
                <w:sz w:val="15"/>
              </w:rPr>
              <w:t>機械化の焦点</w:t>
            </w:r>
          </w:p>
        </w:tc>
      </w:tr>
      <w:tr>
        <w:trPr>
          <w:cantSplit/>
        </w:trPr>
        <w:tc>
          <w:tcPr>
            <w:tcW w:type="dxa" w:w="1701"/>
            <w:vAlign w:val="top"/>
            <w:tcMar>
              <w:top w:w="60" w:type="dxa"/>
              <w:start w:w="70" w:type="dxa"/>
              <w:bottom w:w="60" w:type="dxa"/>
              <w:end w:w="70" w:type="dxa"/>
            </w:tcMar>
          </w:tcPr>
          <w:p>
            <w:pPr>
              <w:spacing w:after="0"/>
            </w:pPr>
            <w:r>
              <w:rPr>
                <w:rFonts w:ascii="Noto Sans CJK JP" w:hAnsi="Noto Sans CJK JP" w:eastAsia="Noto Sans CJK JP"/>
                <w:sz w:val="15"/>
              </w:rPr>
              <w:t>A. 流入・受入</w:t>
            </w:r>
          </w:p>
        </w:tc>
        <w:tc>
          <w:tcPr>
            <w:tcW w:type="dxa" w:w="3572"/>
            <w:vAlign w:val="top"/>
            <w:tcMar>
              <w:top w:w="60" w:type="dxa"/>
              <w:start w:w="70" w:type="dxa"/>
              <w:bottom w:w="60" w:type="dxa"/>
              <w:end w:w="70" w:type="dxa"/>
            </w:tcMar>
          </w:tcPr>
          <w:p>
            <w:pPr>
              <w:spacing w:after="0"/>
            </w:pPr>
            <w:r>
              <w:rPr>
                <w:rFonts w:ascii="Noto Sans CJK JP" w:hAnsi="Noto Sans CJK JP" w:eastAsia="Noto Sans CJK JP"/>
                <w:sz w:val="15"/>
              </w:rPr>
              <w:t>WF-00 認知/紹介 → WF-01受付 → WF-02本人関係 → WF-03コンフリ → WF-04トリアージ</w:t>
            </w:r>
          </w:p>
        </w:tc>
        <w:tc>
          <w:tcPr>
            <w:tcW w:type="dxa" w:w="2665"/>
            <w:vAlign w:val="top"/>
            <w:tcMar>
              <w:top w:w="60" w:type="dxa"/>
              <w:start w:w="70" w:type="dxa"/>
              <w:bottom w:w="60" w:type="dxa"/>
              <w:end w:w="70" w:type="dxa"/>
            </w:tcMar>
          </w:tcPr>
          <w:p>
            <w:pPr>
              <w:spacing w:after="0"/>
            </w:pPr>
            <w:r>
              <w:rPr>
                <w:rFonts w:ascii="Noto Sans CJK JP" w:hAnsi="Noto Sans CJK JP" w:eastAsia="Noto Sans CJK JP"/>
                <w:sz w:val="15"/>
              </w:rPr>
              <w:t>相談レコード作成、コンフリ、相談可否</w:t>
            </w:r>
          </w:p>
        </w:tc>
        <w:tc>
          <w:tcPr>
            <w:tcW w:type="dxa" w:w="2835"/>
            <w:vAlign w:val="top"/>
            <w:tcMar>
              <w:top w:w="60" w:type="dxa"/>
              <w:start w:w="70" w:type="dxa"/>
              <w:bottom w:w="60" w:type="dxa"/>
              <w:end w:w="70" w:type="dxa"/>
            </w:tcMar>
          </w:tcPr>
          <w:p>
            <w:pPr>
              <w:spacing w:after="0"/>
            </w:pPr>
            <w:r>
              <w:rPr>
                <w:rFonts w:ascii="Noto Sans CJK JP" w:hAnsi="Noto Sans CJK JP" w:eastAsia="Noto Sans CJK JP"/>
                <w:sz w:val="15"/>
              </w:rPr>
              <w:t>全チャネル捕捉、重複/既存案件判定、期限・安全連絡</w:t>
            </w:r>
          </w:p>
        </w:tc>
      </w:tr>
      <w:tr>
        <w:trPr>
          <w:cantSplit/>
        </w:trPr>
        <w:tc>
          <w:tcPr>
            <w:tcW w:type="dxa" w:w="1701"/>
            <w:vAlign w:val="top"/>
            <w:tcMar>
              <w:top w:w="60" w:type="dxa"/>
              <w:start w:w="70" w:type="dxa"/>
              <w:bottom w:w="60" w:type="dxa"/>
              <w:end w:w="70" w:type="dxa"/>
            </w:tcMar>
            <w:shd w:fill="F7F9FB"/>
          </w:tcPr>
          <w:p>
            <w:pPr>
              <w:spacing w:after="0"/>
            </w:pPr>
            <w:r>
              <w:rPr>
                <w:rFonts w:ascii="Noto Sans CJK JP" w:hAnsi="Noto Sans CJK JP" w:eastAsia="Noto Sans CJK JP"/>
                <w:sz w:val="15"/>
              </w:rPr>
              <w:t>B. 相談</w:t>
            </w:r>
          </w:p>
        </w:tc>
        <w:tc>
          <w:tcPr>
            <w:tcW w:type="dxa" w:w="3572"/>
            <w:vAlign w:val="top"/>
            <w:tcMar>
              <w:top w:w="60" w:type="dxa"/>
              <w:start w:w="70" w:type="dxa"/>
              <w:bottom w:w="60" w:type="dxa"/>
              <w:end w:w="70" w:type="dxa"/>
            </w:tcMar>
            <w:shd w:fill="F7F9FB"/>
          </w:tcPr>
          <w:p>
            <w:pPr>
              <w:spacing w:after="0"/>
            </w:pPr>
            <w:r>
              <w:rPr>
                <w:rFonts w:ascii="Noto Sans CJK JP" w:hAnsi="Noto Sans CJK JP" w:eastAsia="Noto Sans CJK JP"/>
                <w:sz w:val="15"/>
              </w:rPr>
              <w:t>WF-05日程 → WF-06資料 → WF-07相談 → WF-08相談後評価</w:t>
            </w:r>
          </w:p>
        </w:tc>
        <w:tc>
          <w:tcPr>
            <w:tcW w:type="dxa" w:w="2665"/>
            <w:vAlign w:val="top"/>
            <w:tcMar>
              <w:top w:w="60" w:type="dxa"/>
              <w:start w:w="70" w:type="dxa"/>
              <w:bottom w:w="60" w:type="dxa"/>
              <w:end w:w="70" w:type="dxa"/>
            </w:tcMar>
            <w:shd w:fill="F7F9FB"/>
          </w:tcPr>
          <w:p>
            <w:pPr>
              <w:spacing w:after="0"/>
            </w:pPr>
            <w:r>
              <w:rPr>
                <w:rFonts w:ascii="Noto Sans CJK JP" w:hAnsi="Noto Sans CJK JP" w:eastAsia="Noto Sans CJK JP"/>
                <w:sz w:val="15"/>
              </w:rPr>
              <w:t>日程/費用合意、相談完了、受任提案可否</w:t>
            </w:r>
          </w:p>
        </w:tc>
        <w:tc>
          <w:tcPr>
            <w:tcW w:type="dxa" w:w="2835"/>
            <w:vAlign w:val="top"/>
            <w:tcMar>
              <w:top w:w="60" w:type="dxa"/>
              <w:start w:w="70" w:type="dxa"/>
              <w:bottom w:w="60" w:type="dxa"/>
              <w:end w:w="70" w:type="dxa"/>
            </w:tcMar>
            <w:shd w:fill="F7F9FB"/>
          </w:tcPr>
          <w:p>
            <w:pPr>
              <w:spacing w:after="0"/>
            </w:pPr>
            <w:r>
              <w:rPr>
                <w:rFonts w:ascii="Noto Sans CJK JP" w:hAnsi="Noto Sans CJK JP" w:eastAsia="Noto Sans CJK JP"/>
                <w:sz w:val="15"/>
              </w:rPr>
              <w:t>Calendar/Notta/相談票から時刻、参加者、資料、次行動</w:t>
            </w:r>
          </w:p>
        </w:tc>
      </w:tr>
      <w:tr>
        <w:trPr>
          <w:cantSplit/>
        </w:trPr>
        <w:tc>
          <w:tcPr>
            <w:tcW w:type="dxa" w:w="1701"/>
            <w:vAlign w:val="top"/>
            <w:tcMar>
              <w:top w:w="60" w:type="dxa"/>
              <w:start w:w="70" w:type="dxa"/>
              <w:bottom w:w="60" w:type="dxa"/>
              <w:end w:w="70" w:type="dxa"/>
            </w:tcMar>
          </w:tcPr>
          <w:p>
            <w:pPr>
              <w:spacing w:after="0"/>
            </w:pPr>
            <w:r>
              <w:rPr>
                <w:rFonts w:ascii="Noto Sans CJK JP" w:hAnsi="Noto Sans CJK JP" w:eastAsia="Noto Sans CJK JP"/>
                <w:sz w:val="15"/>
              </w:rPr>
              <w:t>C. 提案・受任</w:t>
            </w:r>
          </w:p>
        </w:tc>
        <w:tc>
          <w:tcPr>
            <w:tcW w:type="dxa" w:w="3572"/>
            <w:vAlign w:val="top"/>
            <w:tcMar>
              <w:top w:w="60" w:type="dxa"/>
              <w:start w:w="70" w:type="dxa"/>
              <w:bottom w:w="60" w:type="dxa"/>
              <w:end w:w="70" w:type="dxa"/>
            </w:tcMar>
          </w:tcPr>
          <w:p>
            <w:pPr>
              <w:spacing w:after="0"/>
            </w:pPr>
            <w:r>
              <w:rPr>
                <w:rFonts w:ascii="Noto Sans CJK JP" w:hAnsi="Noto Sans CJK JP" w:eastAsia="Noto Sans CJK JP"/>
                <w:sz w:val="15"/>
              </w:rPr>
              <w:t>WF-09見積 → WF-10送付 → WF-11調整/締結 → WF-12案件開設</w:t>
            </w:r>
          </w:p>
        </w:tc>
        <w:tc>
          <w:tcPr>
            <w:tcW w:type="dxa" w:w="2665"/>
            <w:vAlign w:val="top"/>
            <w:tcMar>
              <w:top w:w="60" w:type="dxa"/>
              <w:start w:w="70" w:type="dxa"/>
              <w:bottom w:w="60" w:type="dxa"/>
              <w:end w:w="70" w:type="dxa"/>
            </w:tcMar>
          </w:tcPr>
          <w:p>
            <w:pPr>
              <w:spacing w:after="0"/>
            </w:pPr>
            <w:r>
              <w:rPr>
                <w:rFonts w:ascii="Noto Sans CJK JP" w:hAnsi="Noto Sans CJK JP" w:eastAsia="Noto Sans CJK JP"/>
                <w:sz w:val="15"/>
              </w:rPr>
              <w:t>内部承認、提案送付、契約成立、業務開始</w:t>
            </w:r>
          </w:p>
        </w:tc>
        <w:tc>
          <w:tcPr>
            <w:tcW w:type="dxa" w:w="2835"/>
            <w:vAlign w:val="top"/>
            <w:tcMar>
              <w:top w:w="60" w:type="dxa"/>
              <w:start w:w="70" w:type="dxa"/>
              <w:bottom w:w="60" w:type="dxa"/>
              <w:end w:w="70" w:type="dxa"/>
            </w:tcMar>
          </w:tcPr>
          <w:p>
            <w:pPr>
              <w:spacing w:after="0"/>
            </w:pPr>
            <w:r>
              <w:rPr>
                <w:rFonts w:ascii="Noto Sans CJK JP" w:hAnsi="Noto Sans CJK JP" w:eastAsia="Noto Sans CJK JP"/>
                <w:sz w:val="15"/>
              </w:rPr>
              <w:t>proposal package、版、成立根拠、支払条件、SF変換/Box作成</w:t>
            </w:r>
          </w:p>
        </w:tc>
      </w:tr>
      <w:tr>
        <w:trPr>
          <w:cantSplit/>
        </w:trPr>
        <w:tc>
          <w:tcPr>
            <w:tcW w:type="dxa" w:w="1701"/>
            <w:vAlign w:val="top"/>
            <w:tcMar>
              <w:top w:w="60" w:type="dxa"/>
              <w:start w:w="70" w:type="dxa"/>
              <w:bottom w:w="60" w:type="dxa"/>
              <w:end w:w="70" w:type="dxa"/>
            </w:tcMar>
            <w:shd w:fill="F7F9FB"/>
          </w:tcPr>
          <w:p>
            <w:pPr>
              <w:spacing w:after="0"/>
            </w:pPr>
            <w:r>
              <w:rPr>
                <w:rFonts w:ascii="Noto Sans CJK JP" w:hAnsi="Noto Sans CJK JP" w:eastAsia="Noto Sans CJK JP"/>
                <w:sz w:val="15"/>
              </w:rPr>
              <w:t>D. 遂行・納品</w:t>
            </w:r>
          </w:p>
        </w:tc>
        <w:tc>
          <w:tcPr>
            <w:tcW w:type="dxa" w:w="3572"/>
            <w:vAlign w:val="top"/>
            <w:tcMar>
              <w:top w:w="60" w:type="dxa"/>
              <w:start w:w="70" w:type="dxa"/>
              <w:bottom w:w="60" w:type="dxa"/>
              <w:end w:w="70" w:type="dxa"/>
            </w:tcMar>
            <w:shd w:fill="F7F9FB"/>
          </w:tcPr>
          <w:p>
            <w:pPr>
              <w:spacing w:after="0"/>
            </w:pPr>
            <w:r>
              <w:rPr>
                <w:rFonts w:ascii="Noto Sans CJK JP" w:hAnsi="Noto Sans CJK JP" w:eastAsia="Noto Sans CJK JP"/>
                <w:sz w:val="15"/>
              </w:rPr>
              <w:t>WF-13計画 → WF-14継続取込 → WF-15作業 → WF-16レビュー → WF-17納品/提出 → WF-18反復</w:t>
            </w:r>
          </w:p>
        </w:tc>
        <w:tc>
          <w:tcPr>
            <w:tcW w:type="dxa" w:w="2665"/>
            <w:vAlign w:val="top"/>
            <w:tcMar>
              <w:top w:w="60" w:type="dxa"/>
              <w:start w:w="70" w:type="dxa"/>
              <w:bottom w:w="60" w:type="dxa"/>
              <w:end w:w="70" w:type="dxa"/>
            </w:tcMar>
            <w:shd w:fill="F7F9FB"/>
          </w:tcPr>
          <w:p>
            <w:pPr>
              <w:spacing w:after="0"/>
            </w:pPr>
            <w:r>
              <w:rPr>
                <w:rFonts w:ascii="Noto Sans CJK JP" w:hAnsi="Noto Sans CJK JP" w:eastAsia="Noto Sans CJK JP"/>
                <w:sz w:val="15"/>
              </w:rPr>
              <w:t>計画、レビュー、送付、到達/受理</w:t>
            </w:r>
          </w:p>
        </w:tc>
        <w:tc>
          <w:tcPr>
            <w:tcW w:type="dxa" w:w="2835"/>
            <w:vAlign w:val="top"/>
            <w:tcMar>
              <w:top w:w="60" w:type="dxa"/>
              <w:start w:w="70" w:type="dxa"/>
              <w:bottom w:w="60" w:type="dxa"/>
              <w:end w:w="70" w:type="dxa"/>
            </w:tcMar>
            <w:shd w:fill="F7F9FB"/>
          </w:tcPr>
          <w:p>
            <w:pPr>
              <w:spacing w:after="0"/>
            </w:pPr>
            <w:r>
              <w:rPr>
                <w:rFonts w:ascii="Noto Sans CJK JP" w:hAnsi="Noto Sans CJK JP" w:eastAsia="Noto Sans CJK JP"/>
                <w:sz w:val="15"/>
              </w:rPr>
              <w:t>next_action、work_session、文書状態、delivery evidence</w:t>
            </w:r>
          </w:p>
        </w:tc>
      </w:tr>
      <w:tr>
        <w:trPr>
          <w:cantSplit/>
        </w:trPr>
        <w:tc>
          <w:tcPr>
            <w:tcW w:type="dxa" w:w="1701"/>
            <w:vAlign w:val="top"/>
            <w:tcMar>
              <w:top w:w="60" w:type="dxa"/>
              <w:start w:w="70" w:type="dxa"/>
              <w:bottom w:w="60" w:type="dxa"/>
              <w:end w:w="70" w:type="dxa"/>
            </w:tcMar>
          </w:tcPr>
          <w:p>
            <w:pPr>
              <w:spacing w:after="0"/>
            </w:pPr>
            <w:r>
              <w:rPr>
                <w:rFonts w:ascii="Noto Sans CJK JP" w:hAnsi="Noto Sans CJK JP" w:eastAsia="Noto Sans CJK JP"/>
                <w:sz w:val="15"/>
              </w:rPr>
              <w:t>E. 解決・終結</w:t>
            </w:r>
          </w:p>
        </w:tc>
        <w:tc>
          <w:tcPr>
            <w:tcW w:type="dxa" w:w="3572"/>
            <w:vAlign w:val="top"/>
            <w:tcMar>
              <w:top w:w="60" w:type="dxa"/>
              <w:start w:w="70" w:type="dxa"/>
              <w:bottom w:w="60" w:type="dxa"/>
              <w:end w:w="70" w:type="dxa"/>
            </w:tcMar>
          </w:tcPr>
          <w:p>
            <w:pPr>
              <w:spacing w:after="0"/>
            </w:pPr>
            <w:r>
              <w:rPr>
                <w:rFonts w:ascii="Noto Sans CJK JP" w:hAnsi="Noto Sans CJK JP" w:eastAsia="Noto Sans CJK JP"/>
                <w:sz w:val="15"/>
              </w:rPr>
              <w:t>WF-19成果 → WF-20財務精算 → WF-21返却/終了報告 → WF-22終結/知識化</w:t>
            </w:r>
          </w:p>
        </w:tc>
        <w:tc>
          <w:tcPr>
            <w:tcW w:type="dxa" w:w="2665"/>
            <w:vAlign w:val="top"/>
            <w:tcMar>
              <w:top w:w="60" w:type="dxa"/>
              <w:start w:w="70" w:type="dxa"/>
              <w:bottom w:w="60" w:type="dxa"/>
              <w:end w:w="70" w:type="dxa"/>
            </w:tcMar>
          </w:tcPr>
          <w:p>
            <w:pPr>
              <w:spacing w:after="0"/>
            </w:pPr>
            <w:r>
              <w:rPr>
                <w:rFonts w:ascii="Noto Sans CJK JP" w:hAnsi="Noto Sans CJK JP" w:eastAsia="Noto Sans CJK JP"/>
                <w:sz w:val="15"/>
              </w:rPr>
              <w:t>成果確定、最終費用、原本返却、close</w:t>
            </w:r>
          </w:p>
        </w:tc>
        <w:tc>
          <w:tcPr>
            <w:tcW w:type="dxa" w:w="2835"/>
            <w:vAlign w:val="top"/>
            <w:tcMar>
              <w:top w:w="60" w:type="dxa"/>
              <w:start w:w="70" w:type="dxa"/>
              <w:bottom w:w="60" w:type="dxa"/>
              <w:end w:w="70" w:type="dxa"/>
            </w:tcMar>
          </w:tcPr>
          <w:p>
            <w:pPr>
              <w:spacing w:after="0"/>
            </w:pPr>
            <w:r>
              <w:rPr>
                <w:rFonts w:ascii="Noto Sans CJK JP" w:hAnsi="Noto Sans CJK JP" w:eastAsia="Noto Sans CJK JP"/>
                <w:sz w:val="15"/>
              </w:rPr>
              <w:t>複合closing gate、closing package、匿名知識サマリー</w:t>
            </w:r>
          </w:p>
        </w:tc>
      </w:tr>
    </w:tbl>
    <w:p/>
    <w:p>
      <w:pPr>
        <w:pStyle w:val="Heading2"/>
      </w:pPr>
      <w:r>
        <w:t>各工程で共通して必須にする問い</w:t>
      </w:r>
    </w:p>
    <w:p>
      <w:pPr>
        <w:pStyle w:val="ListNumber"/>
        <w:spacing w:after="40"/>
      </w:pPr>
      <w:r>
        <w:t>何が開始トリガーか。</w:t>
      </w:r>
    </w:p>
    <w:p>
      <w:pPr>
        <w:pStyle w:val="ListNumber"/>
        <w:spacing w:after="40"/>
      </w:pPr>
      <w:r>
        <w:t>誰がownerか。代理者・エスカレーション先は誰か。</w:t>
      </w:r>
    </w:p>
    <w:p>
      <w:pPr>
        <w:pStyle w:val="ListNumber"/>
        <w:spacing w:after="40"/>
      </w:pPr>
      <w:r>
        <w:t>何を入力とし、どのsource native IDで証明するか。</w:t>
      </w:r>
    </w:p>
    <w:p>
      <w:pPr>
        <w:pStyle w:val="ListNumber"/>
        <w:spacing w:after="40"/>
      </w:pPr>
      <w:r>
        <w:t>どの判断ゲートがあり、誰が承認するか。</w:t>
      </w:r>
    </w:p>
    <w:p>
      <w:pPr>
        <w:pStyle w:val="ListNumber"/>
        <w:spacing w:after="40"/>
      </w:pPr>
      <w:r>
        <w:t>何を出力し、Box/Salesforce/MF等のどこへ置くか。</w:t>
      </w:r>
    </w:p>
    <w:p>
      <w:pPr>
        <w:pStyle w:val="ListNumber"/>
        <w:spacing w:after="40"/>
      </w:pPr>
      <w:r>
        <w:t>次状態は何か。current next_action / due_at / waiting_onは何か。</w:t>
      </w:r>
    </w:p>
    <w:p>
      <w:pPr>
        <w:pStyle w:val="ListNumber"/>
        <w:spacing w:after="40"/>
      </w:pPr>
      <w:r>
        <w:t>完了を何で証明するか。</w:t>
      </w:r>
    </w:p>
    <w:p>
      <w:pPr>
        <w:pStyle w:val="ListNumber"/>
        <w:spacing w:after="40"/>
      </w:pPr>
      <w:r>
        <w:t>標準から外れた場合、例外理由・承認・復帰経路は何か。</w:t>
      </w:r>
    </w:p>
    <w:p>
      <w:pPr>
        <w:pStyle w:val="Heading1"/>
        <w:pBdr>
          <w:bottom w:val="single" w:sz="8" w:space="4" w:color="2F6F93"/>
        </w:pBdr>
      </w:pPr>
      <w:r>
        <w:t>4. Salesforce相談オブジェクトの評価</w:t>
      </w:r>
    </w:p>
    <w:p>
      <w:r>
        <w:t>相談オブジェクトには、流入経路、詳細流入、紹介者、事件概要/分類、担当弁護士/事務員、受付日、相談日、受任予定日、受任確度、相談未到達理由、受任不成立理由、見込着手金/報酬、相談料/入金、実費/預り金、Box URL、変換フラグ、最終メール/通話/会議、データ品質スコア等が既に存在する。したがって、まず既存フィールドの意味・入力率・更新主体を確定する。</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551"/>
            <w:shd w:fill="2F6F93"/>
            <w:vAlign w:val="center"/>
            <w:tcMar>
              <w:top w:w="70" w:type="dxa"/>
              <w:start w:w="80" w:type="dxa"/>
              <w:bottom w:w="70" w:type="dxa"/>
              <w:end w:w="80" w:type="dxa"/>
            </w:tcMar>
          </w:tcPr>
          <w:p>
            <w:pPr>
              <w:jc w:val="center"/>
            </w:pPr>
            <w:r>
              <w:rPr>
                <w:b/>
                <w:color w:val="FFFFFF"/>
                <w:sz w:val="16"/>
              </w:rPr>
              <w:t>既存項目</w:t>
            </w:r>
          </w:p>
        </w:tc>
        <w:tc>
          <w:tcPr>
            <w:tcW w:type="dxa" w:w="3685"/>
            <w:shd w:fill="2F6F93"/>
            <w:vAlign w:val="center"/>
            <w:tcMar>
              <w:top w:w="70" w:type="dxa"/>
              <w:start w:w="80" w:type="dxa"/>
              <w:bottom w:w="70" w:type="dxa"/>
              <w:end w:w="80" w:type="dxa"/>
            </w:tcMar>
          </w:tcPr>
          <w:p>
            <w:pPr>
              <w:jc w:val="center"/>
            </w:pPr>
            <w:r>
              <w:rPr>
                <w:b/>
                <w:color w:val="FFFFFF"/>
                <w:sz w:val="16"/>
              </w:rPr>
              <w:t>活用方針</w:t>
            </w:r>
          </w:p>
        </w:tc>
        <w:tc>
          <w:tcPr>
            <w:tcW w:type="dxa" w:w="4422"/>
            <w:shd w:fill="2F6F93"/>
            <w:vAlign w:val="center"/>
            <w:tcMar>
              <w:top w:w="70" w:type="dxa"/>
              <w:start w:w="80" w:type="dxa"/>
              <w:bottom w:w="70" w:type="dxa"/>
              <w:end w:w="80" w:type="dxa"/>
            </w:tcMar>
          </w:tcPr>
          <w:p>
            <w:pPr>
              <w:jc w:val="center"/>
            </w:pPr>
            <w:r>
              <w:rPr>
                <w:b/>
                <w:color w:val="FFFFFF"/>
                <w:sz w:val="16"/>
              </w:rPr>
              <w:t>不足/補完</w:t>
            </w:r>
          </w:p>
        </w:tc>
      </w:tr>
      <w:tr>
        <w:trPr>
          <w:cantSplit/>
        </w:trPr>
        <w:tc>
          <w:tcPr>
            <w:tcW w:type="dxa" w:w="2551"/>
            <w:vAlign w:val="top"/>
            <w:tcMar>
              <w:top w:w="60" w:type="dxa"/>
              <w:start w:w="70" w:type="dxa"/>
              <w:bottom w:w="60" w:type="dxa"/>
              <w:end w:w="70" w:type="dxa"/>
            </w:tcMar>
          </w:tcPr>
          <w:p>
            <w:pPr>
              <w:spacing w:after="0"/>
            </w:pPr>
            <w:r>
              <w:rPr>
                <w:rFonts w:ascii="Noto Sans CJK JP" w:hAnsi="Noto Sans CJK JP" w:eastAsia="Noto Sans CJK JP"/>
                <w:sz w:val="16"/>
              </w:rPr>
              <w:t>StageName（7段階）</w:t>
            </w:r>
          </w:p>
        </w:tc>
        <w:tc>
          <w:tcPr>
            <w:tcW w:type="dxa" w:w="3685"/>
            <w:vAlign w:val="top"/>
            <w:tcMar>
              <w:top w:w="60" w:type="dxa"/>
              <w:start w:w="70" w:type="dxa"/>
              <w:bottom w:w="60" w:type="dxa"/>
              <w:end w:w="70" w:type="dxa"/>
            </w:tcMar>
          </w:tcPr>
          <w:p>
            <w:pPr>
              <w:spacing w:after="0"/>
            </w:pPr>
            <w:r>
              <w:rPr>
                <w:rFonts w:ascii="Noto Sans CJK JP" w:hAnsi="Noto Sans CJK JP" w:eastAsia="Noto Sans CJK JP"/>
                <w:sz w:val="16"/>
              </w:rPr>
              <w:t>declared_stateとして保持</w:t>
            </w:r>
          </w:p>
        </w:tc>
        <w:tc>
          <w:tcPr>
            <w:tcW w:type="dxa" w:w="4422"/>
            <w:vAlign w:val="top"/>
            <w:tcMar>
              <w:top w:w="60" w:type="dxa"/>
              <w:start w:w="70" w:type="dxa"/>
              <w:bottom w:w="60" w:type="dxa"/>
              <w:end w:w="70" w:type="dxa"/>
            </w:tcMar>
          </w:tcPr>
          <w:p>
            <w:pPr>
              <w:spacing w:after="0"/>
            </w:pPr>
            <w:r>
              <w:rPr>
                <w:rFonts w:ascii="Noto Sans CJK JP" w:hAnsi="Noto Sans CJK JP" w:eastAsia="Noto Sans CJK JP"/>
                <w:sz w:val="16"/>
              </w:rPr>
              <w:t>詳細stateと遷移履歴はEvent/Snapshotで追加</w:t>
            </w:r>
          </w:p>
        </w:tc>
      </w:tr>
      <w:tr>
        <w:trPr>
          <w:cantSplit/>
        </w:trPr>
        <w:tc>
          <w:tcPr>
            <w:tcW w:type="dxa" w:w="2551"/>
            <w:vAlign w:val="top"/>
            <w:tcMar>
              <w:top w:w="60" w:type="dxa"/>
              <w:start w:w="70" w:type="dxa"/>
              <w:bottom w:w="60" w:type="dxa"/>
              <w:end w:w="70" w:type="dxa"/>
            </w:tcMar>
            <w:shd w:fill="F7F9FB"/>
          </w:tcPr>
          <w:p>
            <w:pPr>
              <w:spacing w:after="0"/>
            </w:pPr>
            <w:r>
              <w:rPr>
                <w:rFonts w:ascii="Noto Sans CJK JP" w:hAnsi="Noto Sans CJK JP" w:eastAsia="Noto Sans CJK JP"/>
                <w:sz w:val="16"/>
              </w:rPr>
              <w:t>受付日・相談日</w:t>
            </w:r>
          </w:p>
        </w:tc>
        <w:tc>
          <w:tcPr>
            <w:tcW w:type="dxa" w:w="3685"/>
            <w:vAlign w:val="top"/>
            <w:tcMar>
              <w:top w:w="60" w:type="dxa"/>
              <w:start w:w="70" w:type="dxa"/>
              <w:bottom w:w="60" w:type="dxa"/>
              <w:end w:w="70" w:type="dxa"/>
            </w:tcMar>
            <w:shd w:fill="F7F9FB"/>
          </w:tcPr>
          <w:p>
            <w:pPr>
              <w:spacing w:after="0"/>
            </w:pPr>
            <w:r>
              <w:rPr>
                <w:rFonts w:ascii="Noto Sans CJK JP" w:hAnsi="Noto Sans CJK JP" w:eastAsia="Noto Sans CJK JP"/>
                <w:sz w:val="16"/>
              </w:rPr>
              <w:t>ファネルKPIの基礎</w:t>
            </w:r>
          </w:p>
        </w:tc>
        <w:tc>
          <w:tcPr>
            <w:tcW w:type="dxa" w:w="4422"/>
            <w:vAlign w:val="top"/>
            <w:tcMar>
              <w:top w:w="60" w:type="dxa"/>
              <w:start w:w="70" w:type="dxa"/>
              <w:bottom w:w="60" w:type="dxa"/>
              <w:end w:w="70" w:type="dxa"/>
            </w:tcMar>
            <w:shd w:fill="F7F9FB"/>
          </w:tcPr>
          <w:p>
            <w:pPr>
              <w:spacing w:after="0"/>
            </w:pPr>
            <w:r>
              <w:rPr>
                <w:rFonts w:ascii="Noto Sans CJK JP" w:hAnsi="Noto Sans CJK JP" w:eastAsia="Noto Sans CJK JP"/>
                <w:sz w:val="16"/>
              </w:rPr>
              <w:t>日付だけでなくsource event由来のdatetimeが必要</w:t>
            </w:r>
          </w:p>
        </w:tc>
      </w:tr>
      <w:tr>
        <w:trPr>
          <w:cantSplit/>
        </w:trPr>
        <w:tc>
          <w:tcPr>
            <w:tcW w:type="dxa" w:w="2551"/>
            <w:vAlign w:val="top"/>
            <w:tcMar>
              <w:top w:w="60" w:type="dxa"/>
              <w:start w:w="70" w:type="dxa"/>
              <w:bottom w:w="60" w:type="dxa"/>
              <w:end w:w="70" w:type="dxa"/>
            </w:tcMar>
          </w:tcPr>
          <w:p>
            <w:pPr>
              <w:spacing w:after="0"/>
            </w:pPr>
            <w:r>
              <w:rPr>
                <w:rFonts w:ascii="Noto Sans CJK JP" w:hAnsi="Noto Sans CJK JP" w:eastAsia="Noto Sans CJK JP"/>
                <w:sz w:val="16"/>
              </w:rPr>
              <w:t>弁護士指示・進捗詳細</w:t>
            </w:r>
          </w:p>
        </w:tc>
        <w:tc>
          <w:tcPr>
            <w:tcW w:type="dxa" w:w="3685"/>
            <w:vAlign w:val="top"/>
            <w:tcMar>
              <w:top w:w="60" w:type="dxa"/>
              <w:start w:w="70" w:type="dxa"/>
              <w:bottom w:w="60" w:type="dxa"/>
              <w:end w:w="70" w:type="dxa"/>
            </w:tcMar>
          </w:tcPr>
          <w:p>
            <w:pPr>
              <w:spacing w:after="0"/>
            </w:pPr>
            <w:r>
              <w:rPr>
                <w:rFonts w:ascii="Noto Sans CJK JP" w:hAnsi="Noto Sans CJK JP" w:eastAsia="Noto Sans CJK JP"/>
                <w:sz w:val="16"/>
              </w:rPr>
              <w:t>既存情報を移行</w:t>
            </w:r>
          </w:p>
        </w:tc>
        <w:tc>
          <w:tcPr>
            <w:tcW w:type="dxa" w:w="4422"/>
            <w:vAlign w:val="top"/>
            <w:tcMar>
              <w:top w:w="60" w:type="dxa"/>
              <w:start w:w="70" w:type="dxa"/>
              <w:bottom w:w="60" w:type="dxa"/>
              <w:end w:w="70" w:type="dxa"/>
            </w:tcMar>
          </w:tcPr>
          <w:p>
            <w:pPr>
              <w:spacing w:after="0"/>
            </w:pPr>
            <w:r>
              <w:rPr>
                <w:rFonts w:ascii="Noto Sans CJK JP" w:hAnsi="Noto Sans CJK JP" w:eastAsia="Noto Sans CJK JP"/>
                <w:sz w:val="16"/>
              </w:rPr>
              <w:t>WorkItem、next_action、waiting_on、due_at、Decisionへ分解</w:t>
            </w:r>
          </w:p>
        </w:tc>
      </w:tr>
      <w:tr>
        <w:trPr>
          <w:cantSplit/>
        </w:trPr>
        <w:tc>
          <w:tcPr>
            <w:tcW w:type="dxa" w:w="2551"/>
            <w:vAlign w:val="top"/>
            <w:tcMar>
              <w:top w:w="60" w:type="dxa"/>
              <w:start w:w="70" w:type="dxa"/>
              <w:bottom w:w="60" w:type="dxa"/>
              <w:end w:w="70" w:type="dxa"/>
            </w:tcMar>
            <w:shd w:fill="F7F9FB"/>
          </w:tcPr>
          <w:p>
            <w:pPr>
              <w:spacing w:after="0"/>
            </w:pPr>
            <w:r>
              <w:rPr>
                <w:rFonts w:ascii="Noto Sans CJK JP" w:hAnsi="Noto Sans CJK JP" w:eastAsia="Noto Sans CJK JP"/>
                <w:sz w:val="16"/>
              </w:rPr>
              <w:t>見込費用・相談料・預り金</w:t>
            </w:r>
          </w:p>
        </w:tc>
        <w:tc>
          <w:tcPr>
            <w:tcW w:type="dxa" w:w="3685"/>
            <w:vAlign w:val="top"/>
            <w:tcMar>
              <w:top w:w="60" w:type="dxa"/>
              <w:start w:w="70" w:type="dxa"/>
              <w:bottom w:w="60" w:type="dxa"/>
              <w:end w:w="70" w:type="dxa"/>
            </w:tcMar>
            <w:shd w:fill="F7F9FB"/>
          </w:tcPr>
          <w:p>
            <w:pPr>
              <w:spacing w:after="0"/>
            </w:pPr>
            <w:r>
              <w:rPr>
                <w:rFonts w:ascii="Noto Sans CJK JP" w:hAnsi="Noto Sans CJK JP" w:eastAsia="Noto Sans CJK JP"/>
                <w:sz w:val="16"/>
              </w:rPr>
              <w:t>予測/スナップショットとして利用</w:t>
            </w:r>
          </w:p>
        </w:tc>
        <w:tc>
          <w:tcPr>
            <w:tcW w:type="dxa" w:w="4422"/>
            <w:vAlign w:val="top"/>
            <w:tcMar>
              <w:top w:w="60" w:type="dxa"/>
              <w:start w:w="70" w:type="dxa"/>
              <w:bottom w:w="60" w:type="dxa"/>
              <w:end w:w="70" w:type="dxa"/>
            </w:tcMar>
            <w:shd w:fill="F7F9FB"/>
          </w:tcPr>
          <w:p>
            <w:pPr>
              <w:spacing w:after="0"/>
            </w:pPr>
            <w:r>
              <w:rPr>
                <w:rFonts w:ascii="Noto Sans CJK JP" w:hAnsi="Noto Sans CJK JP" w:eastAsia="Noto Sans CJK JP"/>
                <w:sz w:val="16"/>
              </w:rPr>
              <w:t>proposal/invoice/payment/ledgerの明細と支払者を追加</w:t>
            </w:r>
          </w:p>
        </w:tc>
      </w:tr>
      <w:tr>
        <w:trPr>
          <w:cantSplit/>
        </w:trPr>
        <w:tc>
          <w:tcPr>
            <w:tcW w:type="dxa" w:w="2551"/>
            <w:vAlign w:val="top"/>
            <w:tcMar>
              <w:top w:w="60" w:type="dxa"/>
              <w:start w:w="70" w:type="dxa"/>
              <w:bottom w:w="60" w:type="dxa"/>
              <w:end w:w="70" w:type="dxa"/>
            </w:tcMar>
          </w:tcPr>
          <w:p>
            <w:pPr>
              <w:spacing w:after="0"/>
            </w:pPr>
            <w:r>
              <w:rPr>
                <w:rFonts w:ascii="Noto Sans CJK JP" w:hAnsi="Noto Sans CJK JP" w:eastAsia="Noto Sans CJK JP"/>
                <w:sz w:val="16"/>
              </w:rPr>
              <w:t>Box URL</w:t>
            </w:r>
          </w:p>
        </w:tc>
        <w:tc>
          <w:tcPr>
            <w:tcW w:type="dxa" w:w="3685"/>
            <w:vAlign w:val="top"/>
            <w:tcMar>
              <w:top w:w="60" w:type="dxa"/>
              <w:start w:w="70" w:type="dxa"/>
              <w:bottom w:w="60" w:type="dxa"/>
              <w:end w:w="70" w:type="dxa"/>
            </w:tcMar>
          </w:tcPr>
          <w:p>
            <w:pPr>
              <w:spacing w:after="0"/>
            </w:pPr>
            <w:r>
              <w:rPr>
                <w:rFonts w:ascii="Noto Sans CJK JP" w:hAnsi="Noto Sans CJK JP" w:eastAsia="Noto Sans CJK JP"/>
                <w:sz w:val="16"/>
              </w:rPr>
              <w:t>文書workspace参照</w:t>
            </w:r>
          </w:p>
        </w:tc>
        <w:tc>
          <w:tcPr>
            <w:tcW w:type="dxa" w:w="4422"/>
            <w:vAlign w:val="top"/>
            <w:tcMar>
              <w:top w:w="60" w:type="dxa"/>
              <w:start w:w="70" w:type="dxa"/>
              <w:bottom w:w="60" w:type="dxa"/>
              <w:end w:w="70" w:type="dxa"/>
            </w:tcMar>
          </w:tcPr>
          <w:p>
            <w:pPr>
              <w:spacing w:after="0"/>
            </w:pPr>
            <w:r>
              <w:rPr>
                <w:rFonts w:ascii="Noto Sans CJK JP" w:hAnsi="Noto Sans CJK JP" w:eastAsia="Noto Sans CJK JP"/>
                <w:sz w:val="16"/>
              </w:rPr>
              <w:t>folder_id、file_id、version_idをURLと別に保持</w:t>
            </w:r>
          </w:p>
        </w:tc>
      </w:tr>
      <w:tr>
        <w:trPr>
          <w:cantSplit/>
        </w:trPr>
        <w:tc>
          <w:tcPr>
            <w:tcW w:type="dxa" w:w="2551"/>
            <w:vAlign w:val="top"/>
            <w:tcMar>
              <w:top w:w="60" w:type="dxa"/>
              <w:start w:w="70" w:type="dxa"/>
              <w:bottom w:w="60" w:type="dxa"/>
              <w:end w:w="70" w:type="dxa"/>
            </w:tcMar>
            <w:shd w:fill="F7F9FB"/>
          </w:tcPr>
          <w:p>
            <w:pPr>
              <w:spacing w:after="0"/>
            </w:pPr>
            <w:r>
              <w:rPr>
                <w:rFonts w:ascii="Noto Sans CJK JP" w:hAnsi="Noto Sans CJK JP" w:eastAsia="Noto Sans CJK JP"/>
                <w:sz w:val="16"/>
              </w:rPr>
              <w:t>最終メール/通話/会議</w:t>
            </w:r>
          </w:p>
        </w:tc>
        <w:tc>
          <w:tcPr>
            <w:tcW w:type="dxa" w:w="3685"/>
            <w:vAlign w:val="top"/>
            <w:tcMar>
              <w:top w:w="60" w:type="dxa"/>
              <w:start w:w="70" w:type="dxa"/>
              <w:bottom w:w="60" w:type="dxa"/>
              <w:end w:w="70" w:type="dxa"/>
            </w:tcMar>
            <w:shd w:fill="F7F9FB"/>
          </w:tcPr>
          <w:p>
            <w:pPr>
              <w:spacing w:after="0"/>
            </w:pPr>
            <w:r>
              <w:rPr>
                <w:rFonts w:ascii="Noto Sans CJK JP" w:hAnsi="Noto Sans CJK JP" w:eastAsia="Noto Sans CJK JP"/>
                <w:sz w:val="16"/>
              </w:rPr>
              <w:t>鮮度表示に利用</w:t>
            </w:r>
          </w:p>
        </w:tc>
        <w:tc>
          <w:tcPr>
            <w:tcW w:type="dxa" w:w="4422"/>
            <w:vAlign w:val="top"/>
            <w:tcMar>
              <w:top w:w="60" w:type="dxa"/>
              <w:start w:w="70" w:type="dxa"/>
              <w:bottom w:w="60" w:type="dxa"/>
              <w:end w:w="70" w:type="dxa"/>
            </w:tcMar>
            <w:shd w:fill="F7F9FB"/>
          </w:tcPr>
          <w:p>
            <w:pPr>
              <w:spacing w:after="0"/>
            </w:pPr>
            <w:r>
              <w:rPr>
                <w:rFonts w:ascii="Noto Sans CJK JP" w:hAnsi="Noto Sans CJK JP" w:eastAsia="Noto Sans CJK JP"/>
                <w:sz w:val="16"/>
              </w:rPr>
              <w:t>元DerivedEventを正本とし、最終日時だけで意味を代用しない</w:t>
            </w:r>
          </w:p>
        </w:tc>
      </w:tr>
      <w:tr>
        <w:trPr>
          <w:cantSplit/>
        </w:trPr>
        <w:tc>
          <w:tcPr>
            <w:tcW w:type="dxa" w:w="2551"/>
            <w:vAlign w:val="top"/>
            <w:tcMar>
              <w:top w:w="60" w:type="dxa"/>
              <w:start w:w="70" w:type="dxa"/>
              <w:bottom w:w="60" w:type="dxa"/>
              <w:end w:w="70" w:type="dxa"/>
            </w:tcMar>
          </w:tcPr>
          <w:p>
            <w:pPr>
              <w:spacing w:after="0"/>
            </w:pPr>
            <w:r>
              <w:rPr>
                <w:rFonts w:ascii="Noto Sans CJK JP" w:hAnsi="Noto Sans CJK JP" w:eastAsia="Noto Sans CJK JP"/>
                <w:sz w:val="16"/>
              </w:rPr>
              <w:t>AI推定分類・品質スコア</w:t>
            </w:r>
          </w:p>
        </w:tc>
        <w:tc>
          <w:tcPr>
            <w:tcW w:type="dxa" w:w="3685"/>
            <w:vAlign w:val="top"/>
            <w:tcMar>
              <w:top w:w="60" w:type="dxa"/>
              <w:start w:w="70" w:type="dxa"/>
              <w:bottom w:w="60" w:type="dxa"/>
              <w:end w:w="70" w:type="dxa"/>
            </w:tcMar>
          </w:tcPr>
          <w:p>
            <w:pPr>
              <w:spacing w:after="0"/>
            </w:pPr>
            <w:r>
              <w:rPr>
                <w:rFonts w:ascii="Noto Sans CJK JP" w:hAnsi="Noto Sans CJK JP" w:eastAsia="Noto Sans CJK JP"/>
                <w:sz w:val="16"/>
              </w:rPr>
              <w:t>候補/監査表示</w:t>
            </w:r>
          </w:p>
        </w:tc>
        <w:tc>
          <w:tcPr>
            <w:tcW w:type="dxa" w:w="4422"/>
            <w:vAlign w:val="top"/>
            <w:tcMar>
              <w:top w:w="60" w:type="dxa"/>
              <w:start w:w="70" w:type="dxa"/>
              <w:bottom w:w="60" w:type="dxa"/>
              <w:end w:w="70" w:type="dxa"/>
            </w:tcMar>
          </w:tcPr>
          <w:p>
            <w:pPr>
              <w:spacing w:after="0"/>
            </w:pPr>
            <w:r>
              <w:rPr>
                <w:rFonts w:ascii="Noto Sans CJK JP" w:hAnsi="Noto Sans CJK JP" w:eastAsia="Noto Sans CJK JP"/>
                <w:sz w:val="16"/>
              </w:rPr>
              <w:t>model/version/provenance、スコア内訳、校正を保持</w:t>
            </w:r>
          </w:p>
        </w:tc>
      </w:tr>
    </w:tbl>
    <w:p/>
    <w:p>
      <w:pPr>
        <w:pStyle w:val="Heading1"/>
        <w:pBdr>
          <w:bottom w:val="single" w:sz="8" w:space="4" w:color="2F6F93"/>
        </w:pBdr>
      </w:pPr>
      <w:r>
        <w:t>5. 取得すべきデータ・書類と実査方法</w:t>
      </w:r>
    </w:p>
    <w:p>
      <w:r>
        <w:t>全件本文を最初から読むのではなく、次の順序で取得する。</w:t>
      </w:r>
    </w:p>
    <w:p>
      <w:pPr>
        <w:pStyle w:val="ListNumber"/>
        <w:spacing w:after="40"/>
      </w:pPr>
      <w:r>
        <w:t>Schema/metadata全量：Salesforce object/field/relationship、Box folder/file manifest、SaaS ID・timestamp・関係だけを100%取得。</w:t>
      </w:r>
    </w:p>
    <w:p>
      <w:pPr>
        <w:pStyle w:val="ListNumber"/>
        <w:spacing w:after="40"/>
      </w:pPr>
      <w:r>
        <w:t>キー結合率を測定：SF ID ↔ Box folder/file ↔ Gmail/Calendar/Notta/Dialpad/MFをどこまで決定的に結べるか確認。</w:t>
      </w:r>
    </w:p>
    <w:p>
      <w:pPr>
        <w:pStyle w:val="ListNumber"/>
        <w:spacing w:after="40"/>
      </w:pPr>
      <w:r>
        <w:t>層化サンプル本文：変換済相談、非受任、相談未到達、進行案件、既済案件、第三者支払、法テラス/保険、例外案件を重複可で抽出。</w:t>
      </w:r>
    </w:p>
    <w:p>
      <w:pPr>
        <w:pStyle w:val="ListNumber"/>
        <w:spacing w:after="40"/>
      </w:pPr>
      <w:r>
        <w:t>イベントgold作成：人が正しい段階、案件、次行動、文書種別、送付/到達、財務状態を付与。</w:t>
      </w:r>
    </w:p>
    <w:p>
      <w:pPr>
        <w:pStyle w:val="ListNumber"/>
        <w:spacing w:after="40"/>
      </w:pPr>
      <w:r>
        <w:t>AI/ルール抽出を比較：precision・recall・未確定率・人間修正時間を計測。</w:t>
      </w:r>
    </w:p>
    <w:p>
      <w:pPr>
        <w:pStyle w:val="ListNumber"/>
        <w:spacing w:after="40"/>
      </w:pPr>
      <w:r>
        <w:t>PoC対象期間へ適用：直近6か月等に展開し、SFへ書くのは承認済み派生のみ。</w:t>
      </w:r>
    </w:p>
    <w:p>
      <w:pPr>
        <w:pStyle w:val="ListNumber"/>
        <w:spacing w:after="40"/>
      </w:pPr>
      <w:r>
        <w:t>全期間展開：スキーマ・品質ゲート・ロールバックが安定してから実施。</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701"/>
            <w:shd w:fill="2F6F93"/>
            <w:vAlign w:val="center"/>
            <w:tcMar>
              <w:top w:w="70" w:type="dxa"/>
              <w:start w:w="80" w:type="dxa"/>
              <w:bottom w:w="70" w:type="dxa"/>
              <w:end w:w="80" w:type="dxa"/>
            </w:tcMar>
          </w:tcPr>
          <w:p>
            <w:pPr>
              <w:jc w:val="center"/>
            </w:pPr>
            <w:r>
              <w:rPr>
                <w:b/>
                <w:color w:val="FFFFFF"/>
                <w:sz w:val="15"/>
              </w:rPr>
              <w:t>系統</w:t>
            </w:r>
          </w:p>
        </w:tc>
        <w:tc>
          <w:tcPr>
            <w:tcW w:type="dxa" w:w="2721"/>
            <w:shd w:fill="2F6F93"/>
            <w:vAlign w:val="center"/>
            <w:tcMar>
              <w:top w:w="70" w:type="dxa"/>
              <w:start w:w="80" w:type="dxa"/>
              <w:bottom w:w="70" w:type="dxa"/>
              <w:end w:w="80" w:type="dxa"/>
            </w:tcMar>
          </w:tcPr>
          <w:p>
            <w:pPr>
              <w:jc w:val="center"/>
            </w:pPr>
            <w:r>
              <w:rPr>
                <w:b/>
                <w:color w:val="FFFFFF"/>
                <w:sz w:val="15"/>
              </w:rPr>
              <w:t>主対象</w:t>
            </w:r>
          </w:p>
        </w:tc>
        <w:tc>
          <w:tcPr>
            <w:tcW w:type="dxa" w:w="4082"/>
            <w:shd w:fill="2F6F93"/>
            <w:vAlign w:val="center"/>
            <w:tcMar>
              <w:top w:w="70" w:type="dxa"/>
              <w:start w:w="80" w:type="dxa"/>
              <w:bottom w:w="70" w:type="dxa"/>
              <w:end w:w="80" w:type="dxa"/>
            </w:tcMar>
          </w:tcPr>
          <w:p>
            <w:pPr>
              <w:jc w:val="center"/>
            </w:pPr>
            <w:r>
              <w:rPr>
                <w:b/>
                <w:color w:val="FFFFFF"/>
                <w:sz w:val="15"/>
              </w:rPr>
              <w:t>取得の要点</w:t>
            </w:r>
          </w:p>
        </w:tc>
        <w:tc>
          <w:tcPr>
            <w:tcW w:type="dxa" w:w="2438"/>
            <w:shd w:fill="2F6F93"/>
            <w:vAlign w:val="center"/>
            <w:tcMar>
              <w:top w:w="70" w:type="dxa"/>
              <w:start w:w="80" w:type="dxa"/>
              <w:bottom w:w="70" w:type="dxa"/>
              <w:end w:w="80" w:type="dxa"/>
            </w:tcMar>
          </w:tcPr>
          <w:p>
            <w:pPr>
              <w:jc w:val="center"/>
            </w:pPr>
            <w:r>
              <w:rPr>
                <w:b/>
                <w:color w:val="FFFFFF"/>
                <w:sz w:val="15"/>
              </w:rPr>
              <w:t>最初の確認</w:t>
            </w:r>
          </w:p>
        </w:tc>
      </w:tr>
      <w:tr>
        <w:trPr>
          <w:cantSplit/>
        </w:trPr>
        <w:tc>
          <w:tcPr>
            <w:tcW w:type="dxa" w:w="1701"/>
            <w:vAlign w:val="top"/>
            <w:tcMar>
              <w:top w:w="60" w:type="dxa"/>
              <w:start w:w="70" w:type="dxa"/>
              <w:bottom w:w="60" w:type="dxa"/>
              <w:end w:w="70" w:type="dxa"/>
            </w:tcMar>
          </w:tcPr>
          <w:p>
            <w:pPr>
              <w:spacing w:after="0"/>
            </w:pPr>
            <w:r>
              <w:rPr>
                <w:rFonts w:ascii="Noto Sans CJK JP" w:hAnsi="Noto Sans CJK JP" w:eastAsia="Noto Sans CJK JP"/>
                <w:sz w:val="15"/>
              </w:rPr>
              <w:t>Salesforce</w:t>
            </w:r>
          </w:p>
        </w:tc>
        <w:tc>
          <w:tcPr>
            <w:tcW w:type="dxa" w:w="2721"/>
            <w:vAlign w:val="top"/>
            <w:tcMar>
              <w:top w:w="60" w:type="dxa"/>
              <w:start w:w="70" w:type="dxa"/>
              <w:bottom w:w="60" w:type="dxa"/>
              <w:end w:w="70" w:type="dxa"/>
            </w:tcMar>
          </w:tcPr>
          <w:p>
            <w:pPr>
              <w:spacing w:after="0"/>
            </w:pPr>
            <w:r>
              <w:rPr>
                <w:rFonts w:ascii="Noto Sans CJK JP" w:hAnsi="Noto Sans CJK JP" w:eastAsia="Noto Sans CJK JP"/>
                <w:sz w:val="15"/>
              </w:rPr>
              <w:t>Consultation/Matter/Task/Event/Party/Deadline/Finance/Postal等</w:t>
            </w:r>
          </w:p>
        </w:tc>
        <w:tc>
          <w:tcPr>
            <w:tcW w:type="dxa" w:w="4082"/>
            <w:vAlign w:val="top"/>
            <w:tcMar>
              <w:top w:w="60" w:type="dxa"/>
              <w:start w:w="70" w:type="dxa"/>
              <w:bottom w:w="60" w:type="dxa"/>
              <w:end w:w="70" w:type="dxa"/>
            </w:tcMar>
          </w:tcPr>
          <w:p>
            <w:pPr>
              <w:spacing w:after="0"/>
            </w:pPr>
            <w:r>
              <w:rPr>
                <w:rFonts w:ascii="Noto Sans CJK JP" w:hAnsi="Noto Sans CJK JP" w:eastAsia="Noto Sans CJK JP"/>
                <w:sz w:val="15"/>
              </w:rPr>
              <w:t>Id、日時、関係、状態、担当、理由、金額、Box URL、履歴</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入力率、更新者、意味の揺れ、変換先ID</w:t>
            </w:r>
          </w:p>
        </w:tc>
      </w:tr>
      <w:tr>
        <w:trPr>
          <w:cantSplit/>
        </w:trPr>
        <w:tc>
          <w:tcPr>
            <w:tcW w:type="dxa" w:w="1701"/>
            <w:vAlign w:val="top"/>
            <w:tcMar>
              <w:top w:w="60" w:type="dxa"/>
              <w:start w:w="70" w:type="dxa"/>
              <w:bottom w:w="60" w:type="dxa"/>
              <w:end w:w="70" w:type="dxa"/>
            </w:tcMar>
            <w:shd w:fill="F7F9FB"/>
          </w:tcPr>
          <w:p>
            <w:pPr>
              <w:spacing w:after="0"/>
            </w:pPr>
            <w:r>
              <w:rPr>
                <w:rFonts w:ascii="Noto Sans CJK JP" w:hAnsi="Noto Sans CJK JP" w:eastAsia="Noto Sans CJK JP"/>
                <w:sz w:val="15"/>
              </w:rPr>
              <w:t>Box</w:t>
            </w:r>
          </w:p>
        </w:tc>
        <w:tc>
          <w:tcPr>
            <w:tcW w:type="dxa" w:w="2721"/>
            <w:vAlign w:val="top"/>
            <w:tcMar>
              <w:top w:w="60" w:type="dxa"/>
              <w:start w:w="70" w:type="dxa"/>
              <w:bottom w:w="60" w:type="dxa"/>
              <w:end w:w="70" w:type="dxa"/>
            </w:tcMar>
            <w:shd w:fill="F7F9FB"/>
          </w:tcPr>
          <w:p>
            <w:pPr>
              <w:spacing w:after="0"/>
            </w:pPr>
            <w:r>
              <w:rPr>
                <w:rFonts w:ascii="Noto Sans CJK JP" w:hAnsi="Noto Sans CJK JP" w:eastAsia="Noto Sans CJK JP"/>
                <w:sz w:val="15"/>
              </w:rPr>
              <w:t>LEALA相談/案件/既済、マニュアル、ひな形、成果物</w:t>
            </w:r>
          </w:p>
        </w:tc>
        <w:tc>
          <w:tcPr>
            <w:tcW w:type="dxa" w:w="4082"/>
            <w:vAlign w:val="top"/>
            <w:tcMar>
              <w:top w:w="60" w:type="dxa"/>
              <w:start w:w="70" w:type="dxa"/>
              <w:bottom w:w="60" w:type="dxa"/>
              <w:end w:w="70" w:type="dxa"/>
            </w:tcMar>
            <w:shd w:fill="F7F9FB"/>
          </w:tcPr>
          <w:p>
            <w:pPr>
              <w:spacing w:after="0"/>
            </w:pPr>
            <w:r>
              <w:rPr>
                <w:rFonts w:ascii="Noto Sans CJK JP" w:hAnsi="Noto Sans CJK JP" w:eastAsia="Noto Sans CJK JP"/>
                <w:sz w:val="15"/>
              </w:rPr>
              <w:t>folder/file/version/metadata/操作履歴。本文は層化</w:t>
            </w:r>
          </w:p>
        </w:tc>
        <w:tc>
          <w:tcPr>
            <w:tcW w:type="dxa" w:w="2438"/>
            <w:vAlign w:val="top"/>
            <w:tcMar>
              <w:top w:w="60" w:type="dxa"/>
              <w:start w:w="70" w:type="dxa"/>
              <w:bottom w:w="60" w:type="dxa"/>
              <w:end w:w="70" w:type="dxa"/>
            </w:tcMar>
            <w:shd w:fill="F7F9FB"/>
          </w:tcPr>
          <w:p>
            <w:pPr>
              <w:spacing w:after="0"/>
            </w:pPr>
            <w:r>
              <w:rPr>
                <w:rFonts w:ascii="Noto Sans CJK JP" w:hAnsi="Noto Sans CJK JP" w:eastAsia="Noto Sans CJK JP"/>
                <w:sz w:val="15"/>
              </w:rPr>
              <w:t>SF ID貫通率、文書種別、最終版判定</w:t>
            </w:r>
          </w:p>
        </w:tc>
      </w:tr>
      <w:tr>
        <w:trPr>
          <w:cantSplit/>
        </w:trPr>
        <w:tc>
          <w:tcPr>
            <w:tcW w:type="dxa" w:w="1701"/>
            <w:vAlign w:val="top"/>
            <w:tcMar>
              <w:top w:w="60" w:type="dxa"/>
              <w:start w:w="70" w:type="dxa"/>
              <w:bottom w:w="60" w:type="dxa"/>
              <w:end w:w="70" w:type="dxa"/>
            </w:tcMar>
          </w:tcPr>
          <w:p>
            <w:pPr>
              <w:spacing w:after="0"/>
            </w:pPr>
            <w:r>
              <w:rPr>
                <w:rFonts w:ascii="Noto Sans CJK JP" w:hAnsi="Noto Sans CJK JP" w:eastAsia="Noto Sans CJK JP"/>
                <w:sz w:val="15"/>
              </w:rPr>
              <w:t>Gmail</w:t>
            </w:r>
          </w:p>
        </w:tc>
        <w:tc>
          <w:tcPr>
            <w:tcW w:type="dxa" w:w="2721"/>
            <w:vAlign w:val="top"/>
            <w:tcMar>
              <w:top w:w="60" w:type="dxa"/>
              <w:start w:w="70" w:type="dxa"/>
              <w:bottom w:w="60" w:type="dxa"/>
              <w:end w:w="70" w:type="dxa"/>
            </w:tcMar>
          </w:tcPr>
          <w:p>
            <w:pPr>
              <w:spacing w:after="0"/>
            </w:pPr>
            <w:r>
              <w:rPr>
                <w:rFonts w:ascii="Noto Sans CJK JP" w:hAnsi="Noto Sans CJK JP" w:eastAsia="Noto Sans CJK JP"/>
                <w:sz w:val="15"/>
              </w:rPr>
              <w:t>全所員の外部/内部メール</w:t>
            </w:r>
          </w:p>
        </w:tc>
        <w:tc>
          <w:tcPr>
            <w:tcW w:type="dxa" w:w="4082"/>
            <w:vAlign w:val="top"/>
            <w:tcMar>
              <w:top w:w="60" w:type="dxa"/>
              <w:start w:w="70" w:type="dxa"/>
              <w:bottom w:w="60" w:type="dxa"/>
              <w:end w:w="70" w:type="dxa"/>
            </w:tcMar>
          </w:tcPr>
          <w:p>
            <w:pPr>
              <w:spacing w:after="0"/>
            </w:pPr>
            <w:r>
              <w:rPr>
                <w:rFonts w:ascii="Noto Sans CJK JP" w:hAnsi="Noto Sans CJK JP" w:eastAsia="Noto Sans CJK JP"/>
                <w:sz w:val="15"/>
              </w:rPr>
              <w:t>message/thread、参加者、日時、本文、添付、話題区間</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新規/既存/複数案件、送付版、次行動</w:t>
            </w:r>
          </w:p>
        </w:tc>
      </w:tr>
      <w:tr>
        <w:trPr>
          <w:cantSplit/>
        </w:trPr>
        <w:tc>
          <w:tcPr>
            <w:tcW w:type="dxa" w:w="1701"/>
            <w:vAlign w:val="top"/>
            <w:tcMar>
              <w:top w:w="60" w:type="dxa"/>
              <w:start w:w="70" w:type="dxa"/>
              <w:bottom w:w="60" w:type="dxa"/>
              <w:end w:w="70" w:type="dxa"/>
            </w:tcMar>
            <w:shd w:fill="F7F9FB"/>
          </w:tcPr>
          <w:p>
            <w:pPr>
              <w:spacing w:after="0"/>
            </w:pPr>
            <w:r>
              <w:rPr>
                <w:rFonts w:ascii="Noto Sans CJK JP" w:hAnsi="Noto Sans CJK JP" w:eastAsia="Noto Sans CJK JP"/>
                <w:sz w:val="15"/>
              </w:rPr>
              <w:t>Dialpad/Notta</w:t>
            </w:r>
          </w:p>
        </w:tc>
        <w:tc>
          <w:tcPr>
            <w:tcW w:type="dxa" w:w="2721"/>
            <w:vAlign w:val="top"/>
            <w:tcMar>
              <w:top w:w="60" w:type="dxa"/>
              <w:start w:w="70" w:type="dxa"/>
              <w:bottom w:w="60" w:type="dxa"/>
              <w:end w:w="70" w:type="dxa"/>
            </w:tcMar>
            <w:shd w:fill="F7F9FB"/>
          </w:tcPr>
          <w:p>
            <w:pPr>
              <w:spacing w:after="0"/>
            </w:pPr>
            <w:r>
              <w:rPr>
                <w:rFonts w:ascii="Noto Sans CJK JP" w:hAnsi="Noto Sans CJK JP" w:eastAsia="Noto Sans CJK JP"/>
                <w:sz w:val="15"/>
              </w:rPr>
              <w:t>通話・会議・文字起こし</w:t>
            </w:r>
          </w:p>
        </w:tc>
        <w:tc>
          <w:tcPr>
            <w:tcW w:type="dxa" w:w="4082"/>
            <w:vAlign w:val="top"/>
            <w:tcMar>
              <w:top w:w="60" w:type="dxa"/>
              <w:start w:w="70" w:type="dxa"/>
              <w:bottom w:w="60" w:type="dxa"/>
              <w:end w:w="70" w:type="dxa"/>
            </w:tcMar>
            <w:shd w:fill="F7F9FB"/>
          </w:tcPr>
          <w:p>
            <w:pPr>
              <w:spacing w:after="0"/>
            </w:pPr>
            <w:r>
              <w:rPr>
                <w:rFonts w:ascii="Noto Sans CJK JP" w:hAnsi="Noto Sans CJK JP" w:eastAsia="Noto Sans CJK JP"/>
                <w:sz w:val="15"/>
              </w:rPr>
              <w:t>native ID、参加者、開始終了、全文、要約、行動</w:t>
            </w:r>
          </w:p>
        </w:tc>
        <w:tc>
          <w:tcPr>
            <w:tcW w:type="dxa" w:w="2438"/>
            <w:vAlign w:val="top"/>
            <w:tcMar>
              <w:top w:w="60" w:type="dxa"/>
              <w:start w:w="70" w:type="dxa"/>
              <w:bottom w:w="60" w:type="dxa"/>
              <w:end w:w="70" w:type="dxa"/>
            </w:tcMar>
            <w:shd w:fill="F7F9FB"/>
          </w:tcPr>
          <w:p>
            <w:pPr>
              <w:spacing w:after="0"/>
            </w:pPr>
            <w:r>
              <w:rPr>
                <w:rFonts w:ascii="Noto Sans CJK JP" w:hAnsi="Noto Sans CJK JP" w:eastAsia="Noto Sans CJK JP"/>
                <w:sz w:val="15"/>
              </w:rPr>
              <w:t>正本/派生、バックアップ、話者/案件紐付け</w:t>
            </w:r>
          </w:p>
        </w:tc>
      </w:tr>
      <w:tr>
        <w:trPr>
          <w:cantSplit/>
        </w:trPr>
        <w:tc>
          <w:tcPr>
            <w:tcW w:type="dxa" w:w="1701"/>
            <w:vAlign w:val="top"/>
            <w:tcMar>
              <w:top w:w="60" w:type="dxa"/>
              <w:start w:w="70" w:type="dxa"/>
              <w:bottom w:w="60" w:type="dxa"/>
              <w:end w:w="70" w:type="dxa"/>
            </w:tcMar>
          </w:tcPr>
          <w:p>
            <w:pPr>
              <w:spacing w:after="0"/>
            </w:pPr>
            <w:r>
              <w:rPr>
                <w:rFonts w:ascii="Noto Sans CJK JP" w:hAnsi="Noto Sans CJK JP" w:eastAsia="Noto Sans CJK JP"/>
                <w:sz w:val="15"/>
              </w:rPr>
              <w:t>Calendar/Meet</w:t>
            </w:r>
          </w:p>
        </w:tc>
        <w:tc>
          <w:tcPr>
            <w:tcW w:type="dxa" w:w="2721"/>
            <w:vAlign w:val="top"/>
            <w:tcMar>
              <w:top w:w="60" w:type="dxa"/>
              <w:start w:w="70" w:type="dxa"/>
              <w:bottom w:w="60" w:type="dxa"/>
              <w:end w:w="70" w:type="dxa"/>
            </w:tcMar>
          </w:tcPr>
          <w:p>
            <w:pPr>
              <w:spacing w:after="0"/>
            </w:pPr>
            <w:r>
              <w:rPr>
                <w:rFonts w:ascii="Noto Sans CJK JP" w:hAnsi="Noto Sans CJK JP" w:eastAsia="Noto Sans CJK JP"/>
                <w:sz w:val="15"/>
              </w:rPr>
              <w:t>予定・実施時刻・参加者</w:t>
            </w:r>
          </w:p>
        </w:tc>
        <w:tc>
          <w:tcPr>
            <w:tcW w:type="dxa" w:w="4082"/>
            <w:vAlign w:val="top"/>
            <w:tcMar>
              <w:top w:w="60" w:type="dxa"/>
              <w:start w:w="70" w:type="dxa"/>
              <w:bottom w:w="60" w:type="dxa"/>
              <w:end w:w="70" w:type="dxa"/>
            </w:tcMar>
          </w:tcPr>
          <w:p>
            <w:pPr>
              <w:spacing w:after="0"/>
            </w:pPr>
            <w:r>
              <w:rPr>
                <w:rFonts w:ascii="Noto Sans CJK JP" w:hAnsi="Noto Sans CJK JP" w:eastAsia="Noto Sans CJK JP"/>
                <w:sz w:val="15"/>
              </w:rPr>
              <w:t>event ID、開始終了、attendee、添付/meeting link</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予定と実施、相談/会議種別</w:t>
            </w:r>
          </w:p>
        </w:tc>
      </w:tr>
      <w:tr>
        <w:trPr>
          <w:cantSplit/>
        </w:trPr>
        <w:tc>
          <w:tcPr>
            <w:tcW w:type="dxa" w:w="1701"/>
            <w:vAlign w:val="top"/>
            <w:tcMar>
              <w:top w:w="60" w:type="dxa"/>
              <w:start w:w="70" w:type="dxa"/>
              <w:bottom w:w="60" w:type="dxa"/>
              <w:end w:w="70" w:type="dxa"/>
            </w:tcMar>
            <w:shd w:fill="F7F9FB"/>
          </w:tcPr>
          <w:p>
            <w:pPr>
              <w:spacing w:after="0"/>
            </w:pPr>
            <w:r>
              <w:rPr>
                <w:rFonts w:ascii="Noto Sans CJK JP" w:hAnsi="Noto Sans CJK JP" w:eastAsia="Noto Sans CJK JP"/>
                <w:sz w:val="15"/>
              </w:rPr>
              <w:t>MF/銀行</w:t>
            </w:r>
          </w:p>
        </w:tc>
        <w:tc>
          <w:tcPr>
            <w:tcW w:type="dxa" w:w="2721"/>
            <w:vAlign w:val="top"/>
            <w:tcMar>
              <w:top w:w="60" w:type="dxa"/>
              <w:start w:w="70" w:type="dxa"/>
              <w:bottom w:w="60" w:type="dxa"/>
              <w:end w:w="70" w:type="dxa"/>
            </w:tcMar>
            <w:shd w:fill="F7F9FB"/>
          </w:tcPr>
          <w:p>
            <w:pPr>
              <w:spacing w:after="0"/>
            </w:pPr>
            <w:r>
              <w:rPr>
                <w:rFonts w:ascii="Noto Sans CJK JP" w:hAnsi="Noto Sans CJK JP" w:eastAsia="Noto Sans CJK JP"/>
                <w:sz w:val="15"/>
              </w:rPr>
              <w:t>見積外の実請求・入金・会計</w:t>
            </w:r>
          </w:p>
        </w:tc>
        <w:tc>
          <w:tcPr>
            <w:tcW w:type="dxa" w:w="4082"/>
            <w:vAlign w:val="top"/>
            <w:tcMar>
              <w:top w:w="60" w:type="dxa"/>
              <w:start w:w="70" w:type="dxa"/>
              <w:bottom w:w="60" w:type="dxa"/>
              <w:end w:w="70" w:type="dxa"/>
            </w:tcMar>
            <w:shd w:fill="F7F9FB"/>
          </w:tcPr>
          <w:p>
            <w:pPr>
              <w:spacing w:after="0"/>
            </w:pPr>
            <w:r>
              <w:rPr>
                <w:rFonts w:ascii="Noto Sans CJK JP" w:hAnsi="Noto Sans CJK JP" w:eastAsia="Noto Sans CJK JP"/>
                <w:sz w:val="15"/>
              </w:rPr>
              <w:t>invoice/transaction、payer、期限、明細、消込</w:t>
            </w:r>
          </w:p>
        </w:tc>
        <w:tc>
          <w:tcPr>
            <w:tcW w:type="dxa" w:w="2438"/>
            <w:vAlign w:val="top"/>
            <w:tcMar>
              <w:top w:w="60" w:type="dxa"/>
              <w:start w:w="70" w:type="dxa"/>
              <w:bottom w:w="60" w:type="dxa"/>
              <w:end w:w="70" w:type="dxa"/>
            </w:tcMar>
            <w:shd w:fill="F7F9FB"/>
          </w:tcPr>
          <w:p>
            <w:pPr>
              <w:spacing w:after="0"/>
            </w:pPr>
            <w:r>
              <w:rPr>
                <w:rFonts w:ascii="Noto Sans CJK JP" w:hAnsi="Noto Sans CJK JP" w:eastAsia="Noto Sans CJK JP"/>
                <w:sz w:val="15"/>
              </w:rPr>
              <w:t>SF会計との正本、案件ID、第三者支払</w:t>
            </w:r>
          </w:p>
        </w:tc>
      </w:tr>
      <w:tr>
        <w:trPr>
          <w:cantSplit/>
        </w:trPr>
        <w:tc>
          <w:tcPr>
            <w:tcW w:type="dxa" w:w="1701"/>
            <w:vAlign w:val="top"/>
            <w:tcMar>
              <w:top w:w="60" w:type="dxa"/>
              <w:start w:w="70" w:type="dxa"/>
              <w:bottom w:w="60" w:type="dxa"/>
              <w:end w:w="70" w:type="dxa"/>
            </w:tcMar>
          </w:tcPr>
          <w:p>
            <w:pPr>
              <w:spacing w:after="0"/>
            </w:pPr>
            <w:r>
              <w:rPr>
                <w:rFonts w:ascii="Noto Sans CJK JP" w:hAnsi="Noto Sans CJK JP" w:eastAsia="Noto Sans CJK JP"/>
                <w:sz w:val="15"/>
              </w:rPr>
              <w:t>MINTS/FAX/郵便</w:t>
            </w:r>
          </w:p>
        </w:tc>
        <w:tc>
          <w:tcPr>
            <w:tcW w:type="dxa" w:w="2721"/>
            <w:vAlign w:val="top"/>
            <w:tcMar>
              <w:top w:w="60" w:type="dxa"/>
              <w:start w:w="70" w:type="dxa"/>
              <w:bottom w:w="60" w:type="dxa"/>
              <w:end w:w="70" w:type="dxa"/>
            </w:tcMar>
          </w:tcPr>
          <w:p>
            <w:pPr>
              <w:spacing w:after="0"/>
            </w:pPr>
            <w:r>
              <w:rPr>
                <w:rFonts w:ascii="Noto Sans CJK JP" w:hAnsi="Noto Sans CJK JP" w:eastAsia="Noto Sans CJK JP"/>
                <w:sz w:val="15"/>
              </w:rPr>
              <w:t>提出・到達・受理証跡</w:t>
            </w:r>
          </w:p>
        </w:tc>
        <w:tc>
          <w:tcPr>
            <w:tcW w:type="dxa" w:w="4082"/>
            <w:vAlign w:val="top"/>
            <w:tcMar>
              <w:top w:w="60" w:type="dxa"/>
              <w:start w:w="70" w:type="dxa"/>
              <w:bottom w:w="60" w:type="dxa"/>
              <w:end w:w="70" w:type="dxa"/>
            </w:tcMar>
          </w:tcPr>
          <w:p>
            <w:pPr>
              <w:spacing w:after="0"/>
            </w:pPr>
            <w:r>
              <w:rPr>
                <w:rFonts w:ascii="Noto Sans CJK JP" w:hAnsi="Noto Sans CJK JP" w:eastAsia="Noto Sans CJK JP"/>
                <w:sz w:val="15"/>
              </w:rPr>
              <w:t>受付番号、FAX report、追跡、配達、補正</w:t>
            </w:r>
          </w:p>
        </w:tc>
        <w:tc>
          <w:tcPr>
            <w:tcW w:type="dxa" w:w="2438"/>
            <w:vAlign w:val="top"/>
            <w:tcMar>
              <w:top w:w="60" w:type="dxa"/>
              <w:start w:w="70" w:type="dxa"/>
              <w:bottom w:w="60" w:type="dxa"/>
              <w:end w:w="70" w:type="dxa"/>
            </w:tcMar>
          </w:tcPr>
          <w:p>
            <w:pPr>
              <w:spacing w:after="0"/>
            </w:pPr>
            <w:r>
              <w:rPr>
                <w:rFonts w:ascii="Noto Sans CJK JP" w:hAnsi="Noto Sans CJK JP" w:eastAsia="Noto Sans CJK JP"/>
                <w:sz w:val="15"/>
              </w:rPr>
              <w:t>共通Delivery eventへの変換</w:t>
            </w:r>
          </w:p>
        </w:tc>
      </w:tr>
    </w:tbl>
    <w:p/>
    <w:p>
      <w:pPr>
        <w:pStyle w:val="Heading2"/>
      </w:pPr>
      <w:r>
        <w:t>最初に集める代表書類</w:t>
      </w:r>
    </w:p>
    <w:p>
      <w:pPr>
        <w:pStyle w:val="ListBullet"/>
        <w:spacing w:after="40"/>
      </w:pPr>
      <w:r>
        <w:t>空の受付票・相談票・コンフリ記録・相談案内・資料依頼リスト。</w:t>
      </w:r>
    </w:p>
    <w:p>
      <w:pPr>
        <w:pStyle w:val="ListBullet"/>
        <w:spacing w:after="40"/>
      </w:pPr>
      <w:r>
        <w:t>見積書、委任契約書案、署名済委任契約書、顧問契約書。</w:t>
      </w:r>
    </w:p>
    <w:p>
      <w:pPr>
        <w:pStyle w:val="ListBullet"/>
        <w:spacing w:after="40"/>
      </w:pPr>
      <w:r>
        <w:t>初期請求、第三者支払請求、法テラス/保険会社関連書類。</w:t>
      </w:r>
    </w:p>
    <w:p>
      <w:pPr>
        <w:pStyle w:val="ListBullet"/>
        <w:spacing w:after="40"/>
      </w:pPr>
      <w:r>
        <w:t>案件計画、調査メモ、ドラフト、レビュー記録、顧客承認記録。</w:t>
      </w:r>
    </w:p>
    <w:p>
      <w:pPr>
        <w:pStyle w:val="ListBullet"/>
        <w:spacing w:after="40"/>
      </w:pPr>
      <w:r>
        <w:t>対外書面、裁判所提出物、送付状、受付/配達証明。</w:t>
      </w:r>
    </w:p>
    <w:p>
      <w:pPr>
        <w:pStyle w:val="ListBullet"/>
        <w:spacing w:after="40"/>
      </w:pPr>
      <w:r>
        <w:t>和解書/判決等、成果メモ、最終請求・預り金/実費精算、原本返却一覧、業務終了報告。</w:t>
      </w:r>
    </w:p>
    <w:p>
      <w:pPr>
        <w:pStyle w:val="ListBullet"/>
        <w:spacing w:after="40"/>
      </w:pPr>
      <w:r>
        <w:t>類型別の例外：緊急受任、口頭受任、連絡不能、未払い、途中辞任、担当交代、誤送信/誤紐付け。</w:t>
      </w:r>
    </w:p>
    <w:p>
      <w:pPr>
        <w:pStyle w:val="Heading1"/>
        <w:pBdr>
          <w:bottom w:val="single" w:sz="8" w:space="4" w:color="2F6F93"/>
        </w:pBdr>
      </w:pPr>
      <w:r>
        <w:t>6. ヒアリング実施方法</w:t>
      </w:r>
    </w:p>
    <w:p>
      <w:r>
        <w:t>質問だけで現行フローを作ると、理想手順や記憶に引っ張られる。各質問は「回答」「実物」「システムログ」の三点で閉じる。</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680"/>
            <w:shd w:fill="2F6F93"/>
            <w:vAlign w:val="center"/>
            <w:tcMar>
              <w:top w:w="70" w:type="dxa"/>
              <w:start w:w="80" w:type="dxa"/>
              <w:bottom w:w="70" w:type="dxa"/>
              <w:end w:w="80" w:type="dxa"/>
            </w:tcMar>
          </w:tcPr>
          <w:p>
            <w:pPr>
              <w:jc w:val="center"/>
            </w:pPr>
            <w:r>
              <w:rPr>
                <w:b/>
                <w:color w:val="FFFFFF"/>
                <w:sz w:val="16"/>
              </w:rPr>
              <w:t>回</w:t>
            </w:r>
          </w:p>
        </w:tc>
        <w:tc>
          <w:tcPr>
            <w:tcW w:type="dxa" w:w="2381"/>
            <w:shd w:fill="2F6F93"/>
            <w:vAlign w:val="center"/>
            <w:tcMar>
              <w:top w:w="70" w:type="dxa"/>
              <w:start w:w="80" w:type="dxa"/>
              <w:bottom w:w="70" w:type="dxa"/>
              <w:end w:w="80" w:type="dxa"/>
            </w:tcMar>
          </w:tcPr>
          <w:p>
            <w:pPr>
              <w:jc w:val="center"/>
            </w:pPr>
            <w:r>
              <w:rPr>
                <w:b/>
                <w:color w:val="FFFFFF"/>
                <w:sz w:val="16"/>
              </w:rPr>
              <w:t>主対象</w:t>
            </w:r>
          </w:p>
        </w:tc>
        <w:tc>
          <w:tcPr>
            <w:tcW w:type="dxa" w:w="1020"/>
            <w:shd w:fill="2F6F93"/>
            <w:vAlign w:val="center"/>
            <w:tcMar>
              <w:top w:w="70" w:type="dxa"/>
              <w:start w:w="80" w:type="dxa"/>
              <w:bottom w:w="70" w:type="dxa"/>
              <w:end w:w="80" w:type="dxa"/>
            </w:tcMar>
          </w:tcPr>
          <w:p>
            <w:pPr>
              <w:jc w:val="center"/>
            </w:pPr>
            <w:r>
              <w:rPr>
                <w:b/>
                <w:color w:val="FFFFFF"/>
                <w:sz w:val="16"/>
              </w:rPr>
              <w:t>所要</w:t>
            </w:r>
          </w:p>
        </w:tc>
        <w:tc>
          <w:tcPr>
            <w:tcW w:type="dxa" w:w="3742"/>
            <w:shd w:fill="2F6F93"/>
            <w:vAlign w:val="center"/>
            <w:tcMar>
              <w:top w:w="70" w:type="dxa"/>
              <w:start w:w="80" w:type="dxa"/>
              <w:bottom w:w="70" w:type="dxa"/>
              <w:end w:w="80" w:type="dxa"/>
            </w:tcMar>
          </w:tcPr>
          <w:p>
            <w:pPr>
              <w:jc w:val="center"/>
            </w:pPr>
            <w:r>
              <w:rPr>
                <w:b/>
                <w:color w:val="FFFFFF"/>
                <w:sz w:val="16"/>
              </w:rPr>
              <w:t>重点</w:t>
            </w:r>
          </w:p>
        </w:tc>
        <w:tc>
          <w:tcPr>
            <w:tcW w:type="dxa" w:w="3118"/>
            <w:shd w:fill="2F6F93"/>
            <w:vAlign w:val="center"/>
            <w:tcMar>
              <w:top w:w="70" w:type="dxa"/>
              <w:start w:w="80" w:type="dxa"/>
              <w:bottom w:w="70" w:type="dxa"/>
              <w:end w:w="80" w:type="dxa"/>
            </w:tcMar>
          </w:tcPr>
          <w:p>
            <w:pPr>
              <w:jc w:val="center"/>
            </w:pPr>
            <w:r>
              <w:rPr>
                <w:b/>
                <w:color w:val="FFFFFF"/>
                <w:sz w:val="16"/>
              </w:rPr>
              <w:t>持参/画面共有</w:t>
            </w:r>
          </w:p>
        </w:tc>
      </w:tr>
      <w:tr>
        <w:trPr>
          <w:cantSplit/>
        </w:trPr>
        <w:tc>
          <w:tcPr>
            <w:tcW w:type="dxa" w:w="680"/>
            <w:vAlign w:val="top"/>
            <w:tcMar>
              <w:top w:w="60" w:type="dxa"/>
              <w:start w:w="70" w:type="dxa"/>
              <w:bottom w:w="60" w:type="dxa"/>
              <w:end w:w="70" w:type="dxa"/>
            </w:tcMar>
          </w:tcPr>
          <w:p>
            <w:pPr>
              <w:spacing w:after="0"/>
            </w:pPr>
            <w:r>
              <w:rPr>
                <w:rFonts w:ascii="Noto Sans CJK JP" w:hAnsi="Noto Sans CJK JP" w:eastAsia="Noto Sans CJK JP"/>
                <w:sz w:val="16"/>
              </w:rPr>
              <w:t>1</w:t>
            </w:r>
          </w:p>
        </w:tc>
        <w:tc>
          <w:tcPr>
            <w:tcW w:type="dxa" w:w="2381"/>
            <w:vAlign w:val="top"/>
            <w:tcMar>
              <w:top w:w="60" w:type="dxa"/>
              <w:start w:w="70" w:type="dxa"/>
              <w:bottom w:w="60" w:type="dxa"/>
              <w:end w:w="70" w:type="dxa"/>
            </w:tcMar>
          </w:tcPr>
          <w:p>
            <w:pPr>
              <w:spacing w:after="0"/>
            </w:pPr>
            <w:r>
              <w:rPr>
                <w:rFonts w:ascii="Noto Sans CJK JP" w:hAnsi="Noto Sans CJK JP" w:eastAsia="Noto Sans CJK JP"/>
                <w:sz w:val="16"/>
              </w:rPr>
              <w:t>浅井先生＋中森事務局長</w:t>
            </w:r>
          </w:p>
        </w:tc>
        <w:tc>
          <w:tcPr>
            <w:tcW w:type="dxa" w:w="1020"/>
            <w:vAlign w:val="top"/>
            <w:tcMar>
              <w:top w:w="60" w:type="dxa"/>
              <w:start w:w="70" w:type="dxa"/>
              <w:bottom w:w="60" w:type="dxa"/>
              <w:end w:w="70" w:type="dxa"/>
            </w:tcMar>
          </w:tcPr>
          <w:p>
            <w:pPr>
              <w:spacing w:after="0"/>
            </w:pPr>
            <w:r>
              <w:rPr>
                <w:rFonts w:ascii="Noto Sans CJK JP" w:hAnsi="Noto Sans CJK JP" w:eastAsia="Noto Sans CJK JP"/>
                <w:sz w:val="16"/>
              </w:rPr>
              <w:t>90分</w:t>
            </w:r>
          </w:p>
        </w:tc>
        <w:tc>
          <w:tcPr>
            <w:tcW w:type="dxa" w:w="3742"/>
            <w:vAlign w:val="top"/>
            <w:tcMar>
              <w:top w:w="60" w:type="dxa"/>
              <w:start w:w="70" w:type="dxa"/>
              <w:bottom w:w="60" w:type="dxa"/>
              <w:end w:w="70" w:type="dxa"/>
            </w:tcMar>
          </w:tcPr>
          <w:p>
            <w:pPr>
              <w:spacing w:after="0"/>
            </w:pPr>
            <w:r>
              <w:rPr>
                <w:rFonts w:ascii="Noto Sans CJK JP" w:hAnsi="Noto Sans CJK JP" w:eastAsia="Noto Sans CJK JP"/>
                <w:sz w:val="16"/>
              </w:rPr>
              <w:t>目的、正本、相談ファネル、重大承認、PoC範囲</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6"/>
              </w:rPr>
              <w:t>SF相談画面、受付〜受任の代表スレッド</w:t>
            </w:r>
          </w:p>
        </w:tc>
      </w:tr>
      <w:tr>
        <w:trPr>
          <w:cantSplit/>
        </w:trPr>
        <w:tc>
          <w:tcPr>
            <w:tcW w:type="dxa" w:w="680"/>
            <w:vAlign w:val="top"/>
            <w:tcMar>
              <w:top w:w="60" w:type="dxa"/>
              <w:start w:w="70" w:type="dxa"/>
              <w:bottom w:w="60" w:type="dxa"/>
              <w:end w:w="70" w:type="dxa"/>
            </w:tcMar>
            <w:shd w:fill="F7F9FB"/>
          </w:tcPr>
          <w:p>
            <w:pPr>
              <w:spacing w:after="0"/>
            </w:pPr>
            <w:r>
              <w:rPr>
                <w:rFonts w:ascii="Noto Sans CJK JP" w:hAnsi="Noto Sans CJK JP" w:eastAsia="Noto Sans CJK JP"/>
                <w:sz w:val="16"/>
              </w:rPr>
              <w:t>2</w:t>
            </w:r>
          </w:p>
        </w:tc>
        <w:tc>
          <w:tcPr>
            <w:tcW w:type="dxa" w:w="2381"/>
            <w:vAlign w:val="top"/>
            <w:tcMar>
              <w:top w:w="60" w:type="dxa"/>
              <w:start w:w="70" w:type="dxa"/>
              <w:bottom w:w="60" w:type="dxa"/>
              <w:end w:w="70" w:type="dxa"/>
            </w:tcMar>
            <w:shd w:fill="F7F9FB"/>
          </w:tcPr>
          <w:p>
            <w:pPr>
              <w:spacing w:after="0"/>
            </w:pPr>
            <w:r>
              <w:rPr>
                <w:rFonts w:ascii="Noto Sans CJK JP" w:hAnsi="Noto Sans CJK JP" w:eastAsia="Noto Sans CJK JP"/>
                <w:sz w:val="16"/>
              </w:rPr>
              <w:t>中森・西村</w:t>
            </w:r>
          </w:p>
        </w:tc>
        <w:tc>
          <w:tcPr>
            <w:tcW w:type="dxa" w:w="1020"/>
            <w:vAlign w:val="top"/>
            <w:tcMar>
              <w:top w:w="60" w:type="dxa"/>
              <w:start w:w="70" w:type="dxa"/>
              <w:bottom w:w="60" w:type="dxa"/>
              <w:end w:w="70" w:type="dxa"/>
            </w:tcMar>
            <w:shd w:fill="F7F9FB"/>
          </w:tcPr>
          <w:p>
            <w:pPr>
              <w:spacing w:after="0"/>
            </w:pPr>
            <w:r>
              <w:rPr>
                <w:rFonts w:ascii="Noto Sans CJK JP" w:hAnsi="Noto Sans CJK JP" w:eastAsia="Noto Sans CJK JP"/>
                <w:sz w:val="16"/>
              </w:rPr>
              <w:t>90分</w:t>
            </w:r>
          </w:p>
        </w:tc>
        <w:tc>
          <w:tcPr>
            <w:tcW w:type="dxa" w:w="3742"/>
            <w:vAlign w:val="top"/>
            <w:tcMar>
              <w:top w:w="60" w:type="dxa"/>
              <w:start w:w="70" w:type="dxa"/>
              <w:bottom w:w="60" w:type="dxa"/>
              <w:end w:w="70" w:type="dxa"/>
            </w:tcMar>
            <w:shd w:fill="F7F9FB"/>
          </w:tcPr>
          <w:p>
            <w:pPr>
              <w:spacing w:after="0"/>
            </w:pPr>
            <w:r>
              <w:rPr>
                <w:rFonts w:ascii="Noto Sans CJK JP" w:hAnsi="Noto Sans CJK JP" w:eastAsia="Noto Sans CJK JP"/>
                <w:sz w:val="16"/>
              </w:rPr>
              <w:t>電話/メール受付、日程、資料、請求、Box、終結の実作業</w:t>
            </w:r>
          </w:p>
        </w:tc>
        <w:tc>
          <w:tcPr>
            <w:tcW w:type="dxa" w:w="3118"/>
            <w:vAlign w:val="top"/>
            <w:tcMar>
              <w:top w:w="60" w:type="dxa"/>
              <w:start w:w="70" w:type="dxa"/>
              <w:bottom w:w="60" w:type="dxa"/>
              <w:end w:w="70" w:type="dxa"/>
            </w:tcMar>
            <w:shd w:fill="F7F9FB"/>
          </w:tcPr>
          <w:p>
            <w:pPr>
              <w:spacing w:after="0"/>
            </w:pPr>
            <w:r>
              <w:rPr>
                <w:rFonts w:ascii="Noto Sans CJK JP" w:hAnsi="Noto Sans CJK JP" w:eastAsia="Noto Sans CJK JP"/>
                <w:sz w:val="16"/>
              </w:rPr>
              <w:t>作業動画、MF/SF/Boxの実画面</w:t>
            </w:r>
          </w:p>
        </w:tc>
      </w:tr>
      <w:tr>
        <w:trPr>
          <w:cantSplit/>
        </w:trPr>
        <w:tc>
          <w:tcPr>
            <w:tcW w:type="dxa" w:w="680"/>
            <w:vAlign w:val="top"/>
            <w:tcMar>
              <w:top w:w="60" w:type="dxa"/>
              <w:start w:w="70" w:type="dxa"/>
              <w:bottom w:w="60" w:type="dxa"/>
              <w:end w:w="70" w:type="dxa"/>
            </w:tcMar>
          </w:tcPr>
          <w:p>
            <w:pPr>
              <w:spacing w:after="0"/>
            </w:pPr>
            <w:r>
              <w:rPr>
                <w:rFonts w:ascii="Noto Sans CJK JP" w:hAnsi="Noto Sans CJK JP" w:eastAsia="Noto Sans CJK JP"/>
                <w:sz w:val="16"/>
              </w:rPr>
              <w:t>3</w:t>
            </w:r>
          </w:p>
        </w:tc>
        <w:tc>
          <w:tcPr>
            <w:tcW w:type="dxa" w:w="2381"/>
            <w:vAlign w:val="top"/>
            <w:tcMar>
              <w:top w:w="60" w:type="dxa"/>
              <w:start w:w="70" w:type="dxa"/>
              <w:bottom w:w="60" w:type="dxa"/>
              <w:end w:w="70" w:type="dxa"/>
            </w:tcMar>
          </w:tcPr>
          <w:p>
            <w:pPr>
              <w:spacing w:after="0"/>
            </w:pPr>
            <w:r>
              <w:rPr>
                <w:rFonts w:ascii="Noto Sans CJK JP" w:hAnsi="Noto Sans CJK JP" w:eastAsia="Noto Sans CJK JP"/>
                <w:sz w:val="16"/>
              </w:rPr>
              <w:t>全弁護士</w:t>
            </w:r>
          </w:p>
        </w:tc>
        <w:tc>
          <w:tcPr>
            <w:tcW w:type="dxa" w:w="1020"/>
            <w:vAlign w:val="top"/>
            <w:tcMar>
              <w:top w:w="60" w:type="dxa"/>
              <w:start w:w="70" w:type="dxa"/>
              <w:bottom w:w="60" w:type="dxa"/>
              <w:end w:w="70" w:type="dxa"/>
            </w:tcMar>
          </w:tcPr>
          <w:p>
            <w:pPr>
              <w:spacing w:after="0"/>
            </w:pPr>
            <w:r>
              <w:rPr>
                <w:rFonts w:ascii="Noto Sans CJK JP" w:hAnsi="Noto Sans CJK JP" w:eastAsia="Noto Sans CJK JP"/>
                <w:sz w:val="16"/>
              </w:rPr>
              <w:t>90分</w:t>
            </w:r>
          </w:p>
        </w:tc>
        <w:tc>
          <w:tcPr>
            <w:tcW w:type="dxa" w:w="3742"/>
            <w:vAlign w:val="top"/>
            <w:tcMar>
              <w:top w:w="60" w:type="dxa"/>
              <w:start w:w="70" w:type="dxa"/>
              <w:bottom w:w="60" w:type="dxa"/>
              <w:end w:w="70" w:type="dxa"/>
            </w:tcMar>
          </w:tcPr>
          <w:p>
            <w:pPr>
              <w:spacing w:after="0"/>
            </w:pPr>
            <w:r>
              <w:rPr>
                <w:rFonts w:ascii="Noto Sans CJK JP" w:hAnsi="Noto Sans CJK JP" w:eastAsia="Noto Sans CJK JP"/>
                <w:sz w:val="16"/>
              </w:rPr>
              <w:t>相談、受任判断、案件計画、起案、レビュー、納品、例外</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6"/>
              </w:rPr>
              <w:t>代表案件を1件ずつ時系列再生</w:t>
            </w:r>
          </w:p>
        </w:tc>
      </w:tr>
      <w:tr>
        <w:trPr>
          <w:cantSplit/>
        </w:trPr>
        <w:tc>
          <w:tcPr>
            <w:tcW w:type="dxa" w:w="680"/>
            <w:vAlign w:val="top"/>
            <w:tcMar>
              <w:top w:w="60" w:type="dxa"/>
              <w:start w:w="70" w:type="dxa"/>
              <w:bottom w:w="60" w:type="dxa"/>
              <w:end w:w="70" w:type="dxa"/>
            </w:tcMar>
            <w:shd w:fill="F7F9FB"/>
          </w:tcPr>
          <w:p>
            <w:pPr>
              <w:spacing w:after="0"/>
            </w:pPr>
            <w:r>
              <w:rPr>
                <w:rFonts w:ascii="Noto Sans CJK JP" w:hAnsi="Noto Sans CJK JP" w:eastAsia="Noto Sans CJK JP"/>
                <w:sz w:val="16"/>
              </w:rPr>
              <w:t>4</w:t>
            </w:r>
          </w:p>
        </w:tc>
        <w:tc>
          <w:tcPr>
            <w:tcW w:type="dxa" w:w="2381"/>
            <w:vAlign w:val="top"/>
            <w:tcMar>
              <w:top w:w="60" w:type="dxa"/>
              <w:start w:w="70" w:type="dxa"/>
              <w:bottom w:w="60" w:type="dxa"/>
              <w:end w:w="70" w:type="dxa"/>
            </w:tcMar>
            <w:shd w:fill="F7F9FB"/>
          </w:tcPr>
          <w:p>
            <w:pPr>
              <w:spacing w:after="0"/>
            </w:pPr>
            <w:r>
              <w:rPr>
                <w:rFonts w:ascii="Noto Sans CJK JP" w:hAnsi="Noto Sans CJK JP" w:eastAsia="Noto Sans CJK JP"/>
                <w:sz w:val="16"/>
              </w:rPr>
              <w:t>中森＋外部SE</w:t>
            </w:r>
          </w:p>
        </w:tc>
        <w:tc>
          <w:tcPr>
            <w:tcW w:type="dxa" w:w="1020"/>
            <w:vAlign w:val="top"/>
            <w:tcMar>
              <w:top w:w="60" w:type="dxa"/>
              <w:start w:w="70" w:type="dxa"/>
              <w:bottom w:w="60" w:type="dxa"/>
              <w:end w:w="70" w:type="dxa"/>
            </w:tcMar>
            <w:shd w:fill="F7F9FB"/>
          </w:tcPr>
          <w:p>
            <w:pPr>
              <w:spacing w:after="0"/>
            </w:pPr>
            <w:r>
              <w:rPr>
                <w:rFonts w:ascii="Noto Sans CJK JP" w:hAnsi="Noto Sans CJK JP" w:eastAsia="Noto Sans CJK JP"/>
                <w:sz w:val="16"/>
              </w:rPr>
              <w:t>75分</w:t>
            </w:r>
          </w:p>
        </w:tc>
        <w:tc>
          <w:tcPr>
            <w:tcW w:type="dxa" w:w="3742"/>
            <w:vAlign w:val="top"/>
            <w:tcMar>
              <w:top w:w="60" w:type="dxa"/>
              <w:start w:w="70" w:type="dxa"/>
              <w:bottom w:w="60" w:type="dxa"/>
              <w:end w:w="70" w:type="dxa"/>
            </w:tcMar>
            <w:shd w:fill="F7F9FB"/>
          </w:tcPr>
          <w:p>
            <w:pPr>
              <w:spacing w:after="0"/>
            </w:pPr>
            <w:r>
              <w:rPr>
                <w:rFonts w:ascii="Noto Sans CJK JP" w:hAnsi="Noto Sans CJK JP" w:eastAsia="Noto Sans CJK JP"/>
                <w:sz w:val="16"/>
              </w:rPr>
              <w:t>ID結合、API、ログ、権限、保持、障害時fallback</w:t>
            </w:r>
          </w:p>
        </w:tc>
        <w:tc>
          <w:tcPr>
            <w:tcW w:type="dxa" w:w="3118"/>
            <w:vAlign w:val="top"/>
            <w:tcMar>
              <w:top w:w="60" w:type="dxa"/>
              <w:start w:w="70" w:type="dxa"/>
              <w:bottom w:w="60" w:type="dxa"/>
              <w:end w:w="70" w:type="dxa"/>
            </w:tcMar>
            <w:shd w:fill="F7F9FB"/>
          </w:tcPr>
          <w:p>
            <w:pPr>
              <w:spacing w:after="0"/>
            </w:pPr>
            <w:r>
              <w:rPr>
                <w:rFonts w:ascii="Noto Sans CJK JP" w:hAnsi="Noto Sans CJK JP" w:eastAsia="Noto Sans CJK JP"/>
                <w:sz w:val="16"/>
              </w:rPr>
              <w:t>SF schema、Box manifest、各API仕様</w:t>
            </w:r>
          </w:p>
        </w:tc>
      </w:tr>
      <w:tr>
        <w:trPr>
          <w:cantSplit/>
        </w:trPr>
        <w:tc>
          <w:tcPr>
            <w:tcW w:type="dxa" w:w="680"/>
            <w:vAlign w:val="top"/>
            <w:tcMar>
              <w:top w:w="60" w:type="dxa"/>
              <w:start w:w="70" w:type="dxa"/>
              <w:bottom w:w="60" w:type="dxa"/>
              <w:end w:w="70" w:type="dxa"/>
            </w:tcMar>
          </w:tcPr>
          <w:p>
            <w:pPr>
              <w:spacing w:after="0"/>
            </w:pPr>
            <w:r>
              <w:rPr>
                <w:rFonts w:ascii="Noto Sans CJK JP" w:hAnsi="Noto Sans CJK JP" w:eastAsia="Noto Sans CJK JP"/>
                <w:sz w:val="16"/>
              </w:rPr>
              <w:t>5</w:t>
            </w:r>
          </w:p>
        </w:tc>
        <w:tc>
          <w:tcPr>
            <w:tcW w:type="dxa" w:w="2381"/>
            <w:vAlign w:val="top"/>
            <w:tcMar>
              <w:top w:w="60" w:type="dxa"/>
              <w:start w:w="70" w:type="dxa"/>
              <w:bottom w:w="60" w:type="dxa"/>
              <w:end w:w="70" w:type="dxa"/>
            </w:tcMar>
          </w:tcPr>
          <w:p>
            <w:pPr>
              <w:spacing w:after="0"/>
            </w:pPr>
            <w:r>
              <w:rPr>
                <w:rFonts w:ascii="Noto Sans CJK JP" w:hAnsi="Noto Sans CJK JP" w:eastAsia="Noto Sans CJK JP"/>
                <w:sz w:val="16"/>
              </w:rPr>
              <w:t>浅井先生＋全員</w:t>
            </w:r>
          </w:p>
        </w:tc>
        <w:tc>
          <w:tcPr>
            <w:tcW w:type="dxa" w:w="1020"/>
            <w:vAlign w:val="top"/>
            <w:tcMar>
              <w:top w:w="60" w:type="dxa"/>
              <w:start w:w="70" w:type="dxa"/>
              <w:bottom w:w="60" w:type="dxa"/>
              <w:end w:w="70" w:type="dxa"/>
            </w:tcMar>
          </w:tcPr>
          <w:p>
            <w:pPr>
              <w:spacing w:after="0"/>
            </w:pPr>
            <w:r>
              <w:rPr>
                <w:rFonts w:ascii="Noto Sans CJK JP" w:hAnsi="Noto Sans CJK JP" w:eastAsia="Noto Sans CJK JP"/>
                <w:sz w:val="16"/>
              </w:rPr>
              <w:t>60分</w:t>
            </w:r>
          </w:p>
        </w:tc>
        <w:tc>
          <w:tcPr>
            <w:tcW w:type="dxa" w:w="3742"/>
            <w:vAlign w:val="top"/>
            <w:tcMar>
              <w:top w:w="60" w:type="dxa"/>
              <w:start w:w="70" w:type="dxa"/>
              <w:bottom w:w="60" w:type="dxa"/>
              <w:end w:w="70" w:type="dxa"/>
            </w:tcMar>
          </w:tcPr>
          <w:p>
            <w:pPr>
              <w:spacing w:after="0"/>
            </w:pPr>
            <w:r>
              <w:rPr>
                <w:rFonts w:ascii="Noto Sans CJK JP" w:hAnsi="Noto Sans CJK JP" w:eastAsia="Noto Sans CJK JP"/>
                <w:sz w:val="16"/>
              </w:rPr>
              <w:t>未決事項裁定、標準/例外、受入基準、運用責任</w:t>
            </w:r>
          </w:p>
        </w:tc>
        <w:tc>
          <w:tcPr>
            <w:tcW w:type="dxa" w:w="3118"/>
            <w:vAlign w:val="top"/>
            <w:tcMar>
              <w:top w:w="60" w:type="dxa"/>
              <w:start w:w="70" w:type="dxa"/>
              <w:bottom w:w="60" w:type="dxa"/>
              <w:end w:w="70" w:type="dxa"/>
            </w:tcMar>
          </w:tcPr>
          <w:p>
            <w:pPr>
              <w:spacing w:after="0"/>
            </w:pPr>
            <w:r>
              <w:rPr>
                <w:rFonts w:ascii="Noto Sans CJK JP" w:hAnsi="Noto Sans CJK JP" w:eastAsia="Noto Sans CJK JP"/>
                <w:sz w:val="16"/>
              </w:rPr>
              <w:t>台帳のP0未回答とDecision Log</w:t>
            </w:r>
          </w:p>
        </w:tc>
      </w:tr>
    </w:tbl>
    <w:p/>
    <w:tbl>
      <w:tblPr>
        <w:tblW w:type="auto" w:w="0"/>
        <w:jc w:val="center"/>
        <w:tblLayout w:type="autofit"/>
        <w:tblLook w:firstColumn="1" w:firstRow="1" w:lastColumn="0" w:lastRow="0" w:noHBand="0" w:noVBand="1" w:val="04A0"/>
      </w:tblPr>
      <w:tblGrid>
        <w:gridCol w:w="10086"/>
      </w:tblGrid>
      <w:tr>
        <w:tc>
          <w:tcPr>
            <w:tcW w:type="dxa" w:w="10086"/>
            <w:shd w:fill="EAF2F7"/>
            <w:tcMar>
              <w:top w:w="150" w:type="dxa"/>
              <w:start w:w="180" w:type="dxa"/>
              <w:bottom w:w="150" w:type="dxa"/>
              <w:end w:w="180" w:type="dxa"/>
            </w:tcMar>
            <w:tcBorders>
              <w:left w:val="single" w:sz="24" w:color="2F6F93"/>
            </w:tcBorders>
          </w:tcPr>
          <w:p>
            <w:r>
              <w:rPr>
                <w:b/>
                <w:color w:val="2F6F93"/>
                <w:sz w:val="22"/>
              </w:rPr>
              <w:t>聴取ルール</w:t>
            </w:r>
            <w:r>
              <w:br/>
              <w:t>「普段はどうですか」だけで終えず、直近の具体例を画面で再生する。誰が、何を見て、どこをクリックし、何が完了証拠になり、失敗時にどう戻るかまで確認する。回答と実ログが違えば、実ログを観測事実として残し、差の理由を別途聴取する。</w:t>
            </w:r>
          </w:p>
        </w:tc>
      </w:tr>
    </w:tbl>
    <w:p/>
    <w:p>
      <w:pPr>
        <w:pStyle w:val="Heading1"/>
        <w:pBdr>
          <w:bottom w:val="single" w:sz="8" w:space="4" w:color="2F6F93"/>
        </w:pBdr>
      </w:pPr>
      <w:r>
        <w:t>7. P0グリル質問</w:t>
      </w:r>
    </w:p>
    <w:p>
      <w:r>
        <w:t>Excel台帳には全245問を収録している。本節は、正本・重大ゲート・期限・財務・終結を左右するP0質問58問を抜粋する。</w:t>
      </w:r>
    </w:p>
    <w:p>
      <w:pPr>
        <w:pStyle w:val="Heading2"/>
      </w:pPr>
      <w:r>
        <w:t>00 設計原則・統治</w:t>
      </w:r>
    </w:p>
    <w:p>
      <w:pPr>
        <w:spacing w:after="60"/>
        <w:ind w:left="227" w:hanging="227"/>
      </w:pPr>
      <w:r>
        <w:rPr>
          <w:b/>
          <w:color w:val="2F6F93"/>
        </w:rPr>
        <w:t xml:space="preserve">Q-003  </w:t>
      </w:r>
      <w:r>
        <w:t>業務フローの正本はSalesforce、Box、各SaaS、別DBのどれとしますか。対象ごとに分けますか。</w:t>
      </w:r>
    </w:p>
    <w:p>
      <w:pPr>
        <w:spacing w:after="60"/>
        <w:ind w:left="227" w:hanging="227"/>
      </w:pPr>
      <w:r>
        <w:rPr>
          <w:b/>
          <w:color w:val="2F6F93"/>
        </w:rPr>
        <w:t xml:space="preserve">Q-005  </w:t>
      </w:r>
      <w:r>
        <w:t>AIが自動確定してよい事項、候補提示までに留める事項、人間のみが判断する事項をどう分けますか。</w:t>
      </w:r>
    </w:p>
    <w:p>
      <w:pPr>
        <w:spacing w:after="60"/>
        <w:ind w:left="227" w:hanging="227"/>
      </w:pPr>
      <w:r>
        <w:rPr>
          <w:b/>
          <w:color w:val="2F6F93"/>
        </w:rPr>
        <w:t xml:space="preserve">Q-006  </w:t>
      </w:r>
      <w:r>
        <w:t>コンフリ通過、受任開始、最終成果物送付、終結、請求確定を必須の人間承認ゲートとしますか。</w:t>
      </w:r>
    </w:p>
    <w:p>
      <w:pPr>
        <w:spacing w:after="60"/>
        <w:ind w:left="227" w:hanging="227"/>
      </w:pPr>
      <w:r>
        <w:rPr>
          <w:b/>
          <w:color w:val="2F6F93"/>
        </w:rPr>
        <w:t xml:space="preserve">Q-014  </w:t>
      </w:r>
      <w:r>
        <w:t>誤推定の許容度は、業務種類ごとにどこまでですか（紐付け、分類、期限、請求、法的判断）。</w:t>
      </w:r>
    </w:p>
    <w:p>
      <w:pPr>
        <w:pStyle w:val="Heading2"/>
      </w:pPr>
      <w:r>
        <w:t>01 流入・問合せ受付</w:t>
      </w:r>
    </w:p>
    <w:p>
      <w:pPr>
        <w:spacing w:after="60"/>
        <w:ind w:left="227" w:hanging="227"/>
      </w:pPr>
      <w:r>
        <w:rPr>
          <w:b/>
          <w:color w:val="2F6F93"/>
        </w:rPr>
        <w:t xml:space="preserve">Q-019  </w:t>
      </w:r>
      <w:r>
        <w:t>どの時点でSalesforce相談レコードを作りますか（受信時、本人確認後、コンフリ前後、日程調整開始時）。</w:t>
      </w:r>
    </w:p>
    <w:p>
      <w:pPr>
        <w:spacing w:after="60"/>
        <w:ind w:left="227" w:hanging="227"/>
      </w:pPr>
      <w:r>
        <w:rPr>
          <w:b/>
          <w:color w:val="2F6F93"/>
        </w:rPr>
        <w:t xml:space="preserve">Q-022  </w:t>
      </w:r>
      <w:r>
        <w:t>電話受付で必ず聞く項目は何ですか。現在の電話マニュアルにない必須項目は何ですか。</w:t>
      </w:r>
    </w:p>
    <w:p>
      <w:pPr>
        <w:spacing w:after="60"/>
        <w:ind w:left="227" w:hanging="227"/>
      </w:pPr>
      <w:r>
        <w:rPr>
          <w:b/>
          <w:color w:val="2F6F93"/>
        </w:rPr>
        <w:t xml:space="preserve">Q-027  </w:t>
      </w:r>
      <w:r>
        <w:t>相談内容に期限・期日・時効・回答期限があるかを、誰が何分以内に確認しますか。</w:t>
      </w:r>
    </w:p>
    <w:p>
      <w:pPr>
        <w:pStyle w:val="Heading2"/>
      </w:pPr>
      <w:r>
        <w:t>02 本人関係・コンフリ・トリアージ</w:t>
      </w:r>
    </w:p>
    <w:p>
      <w:pPr>
        <w:spacing w:after="60"/>
        <w:ind w:left="227" w:hanging="227"/>
      </w:pPr>
      <w:r>
        <w:rPr>
          <w:b/>
          <w:color w:val="2F6F93"/>
        </w:rPr>
        <w:t xml:space="preserve">Q-037  </w:t>
      </w:r>
      <w:r>
        <w:t>コンフリチェックは誰が依頼し、誰が検索し、誰が最終判断しますか。</w:t>
      </w:r>
    </w:p>
    <w:p>
      <w:pPr>
        <w:spacing w:after="60"/>
        <w:ind w:left="227" w:hanging="227"/>
      </w:pPr>
      <w:r>
        <w:rPr>
          <w:b/>
          <w:color w:val="2F6F93"/>
        </w:rPr>
        <w:t xml:space="preserve">Q-038  </w:t>
      </w:r>
      <w:r>
        <w:t>コンフリチェック開始前に必要な最小項目は何ですか。</w:t>
      </w:r>
    </w:p>
    <w:p>
      <w:pPr>
        <w:spacing w:after="60"/>
        <w:ind w:left="227" w:hanging="227"/>
      </w:pPr>
      <w:r>
        <w:rPr>
          <w:b/>
          <w:color w:val="2F6F93"/>
        </w:rPr>
        <w:t xml:space="preserve">Q-046  </w:t>
      </w:r>
      <w:r>
        <w:t>コンフリ完了前に資料を受領・保存してよい範囲はどこまでですか。</w:t>
      </w:r>
    </w:p>
    <w:p>
      <w:pPr>
        <w:spacing w:after="60"/>
        <w:ind w:left="227" w:hanging="227"/>
      </w:pPr>
      <w:r>
        <w:rPr>
          <w:b/>
          <w:color w:val="2F6F93"/>
        </w:rPr>
        <w:t xml:space="preserve">Q-047  </w:t>
      </w:r>
      <w:r>
        <w:t>緊急期限がある場合、通常順序を飛ばす例外手順はありますか。</w:t>
      </w:r>
    </w:p>
    <w:p>
      <w:pPr>
        <w:pStyle w:val="Heading2"/>
      </w:pPr>
      <w:r>
        <w:t>03 日程調整・事前準備</w:t>
      </w:r>
    </w:p>
    <w:p>
      <w:pPr>
        <w:spacing w:after="60"/>
        <w:ind w:left="227" w:hanging="227"/>
      </w:pPr>
      <w:r>
        <w:rPr>
          <w:b/>
          <w:color w:val="2F6F93"/>
        </w:rPr>
        <w:t xml:space="preserve">Q-062  </w:t>
      </w:r>
      <w:r>
        <w:t>受領資料を誰がどの期限で案件候補へ紐付け、名称・文書種別を付けますか。</w:t>
      </w:r>
    </w:p>
    <w:p>
      <w:pPr>
        <w:pStyle w:val="Heading2"/>
      </w:pPr>
      <w:r>
        <w:t>04 相談実施・相談後評価</w:t>
      </w:r>
    </w:p>
    <w:p>
      <w:pPr>
        <w:spacing w:after="60"/>
        <w:ind w:left="227" w:hanging="227"/>
      </w:pPr>
      <w:r>
        <w:rPr>
          <w:b/>
          <w:color w:val="2F6F93"/>
        </w:rPr>
        <w:t xml:space="preserve">Q-073  </w:t>
      </w:r>
      <w:r>
        <w:t>相談記録の正本はSalesforce活動履歴、Notta、相談票、弁護士メモのどれですか。</w:t>
      </w:r>
    </w:p>
    <w:p>
      <w:pPr>
        <w:spacing w:after="60"/>
        <w:ind w:left="227" w:hanging="227"/>
      </w:pPr>
      <w:r>
        <w:rPr>
          <w:b/>
          <w:color w:val="2F6F93"/>
        </w:rPr>
        <w:t xml:space="preserve">Q-074  </w:t>
      </w:r>
      <w:r>
        <w:t>相談内容を、事実、依頼者の目的、争点、証拠、相手方主張、期限、制約に分けて記録しますか。</w:t>
      </w:r>
    </w:p>
    <w:p>
      <w:pPr>
        <w:spacing w:after="60"/>
        <w:ind w:left="227" w:hanging="227"/>
      </w:pPr>
      <w:r>
        <w:rPr>
          <w:b/>
          <w:color w:val="2F6F93"/>
        </w:rPr>
        <w:t xml:space="preserve">Q-078  </w:t>
      </w:r>
      <w:r>
        <w:t>相談中に追加資料を依頼した場合、資料ごとに期限・担当・受領状態を作りますか。</w:t>
      </w:r>
    </w:p>
    <w:p>
      <w:pPr>
        <w:spacing w:after="60"/>
        <w:ind w:left="227" w:hanging="227"/>
      </w:pPr>
      <w:r>
        <w:rPr>
          <w:b/>
          <w:color w:val="2F6F93"/>
        </w:rPr>
        <w:t xml:space="preserve">Q-086  </w:t>
      </w:r>
      <w:r>
        <w:t>受任前でも回答期限や保全措置が必要な場合、責任範囲をどう明示しますか。</w:t>
      </w:r>
    </w:p>
    <w:p>
      <w:pPr>
        <w:pStyle w:val="Heading2"/>
      </w:pPr>
      <w:r>
        <w:t>05 見積・提案・受任契約</w:t>
      </w:r>
    </w:p>
    <w:p>
      <w:pPr>
        <w:spacing w:after="60"/>
        <w:ind w:left="227" w:hanging="227"/>
      </w:pPr>
      <w:r>
        <w:rPr>
          <w:b/>
          <w:color w:val="2F6F93"/>
        </w:rPr>
        <w:t xml:space="preserve">Q-098  </w:t>
      </w:r>
      <w:r>
        <w:t>送付先、契約当事者、実際の相談担当者、支払者が異なる場合をどう表現しますか。</w:t>
      </w:r>
    </w:p>
    <w:p>
      <w:pPr>
        <w:spacing w:after="60"/>
        <w:ind w:left="227" w:hanging="227"/>
      </w:pPr>
      <w:r>
        <w:rPr>
          <w:b/>
          <w:color w:val="2F6F93"/>
        </w:rPr>
        <w:t xml:space="preserve">Q-101  </w:t>
      </w:r>
      <w:r>
        <w:t>送付後のフォロー期限を何日後に自動生成しますか。</w:t>
      </w:r>
    </w:p>
    <w:p>
      <w:pPr>
        <w:spacing w:after="60"/>
        <w:ind w:left="227" w:hanging="227"/>
      </w:pPr>
      <w:r>
        <w:rPr>
          <w:b/>
          <w:color w:val="2F6F93"/>
        </w:rPr>
        <w:t xml:space="preserve">Q-103  </w:t>
      </w:r>
      <w:r>
        <w:t>最終面談を契約締結の必須手順にする場合としない場合の基準は何ですか。</w:t>
      </w:r>
    </w:p>
    <w:p>
      <w:pPr>
        <w:spacing w:after="60"/>
        <w:ind w:left="227" w:hanging="227"/>
      </w:pPr>
      <w:r>
        <w:rPr>
          <w:b/>
          <w:color w:val="2F6F93"/>
        </w:rPr>
        <w:t xml:space="preserve">Q-104  </w:t>
      </w:r>
      <w:r>
        <w:t>契約成立は署名、押印、返信による承諾、着手金入金、口頭合意のどれで判定しますか。</w:t>
      </w:r>
    </w:p>
    <w:p>
      <w:pPr>
        <w:pStyle w:val="Heading2"/>
      </w:pPr>
      <w:r>
        <w:t>06 料金・請求・入出金</w:t>
      </w:r>
    </w:p>
    <w:p>
      <w:pPr>
        <w:spacing w:after="60"/>
        <w:ind w:left="227" w:hanging="227"/>
      </w:pPr>
      <w:r>
        <w:rPr>
          <w:b/>
          <w:color w:val="2F6F93"/>
        </w:rPr>
        <w:t xml:space="preserve">Q-117  </w:t>
      </w:r>
      <w:r>
        <w:t>依頼者と支払者が異なる類型を列挙してください（保険会社、法テラス、親族、法人等）。</w:t>
      </w:r>
    </w:p>
    <w:p>
      <w:pPr>
        <w:spacing w:after="60"/>
        <w:ind w:left="227" w:hanging="227"/>
      </w:pPr>
      <w:r>
        <w:rPr>
          <w:b/>
          <w:color w:val="2F6F93"/>
        </w:rPr>
        <w:t xml:space="preserve">Q-125  </w:t>
      </w:r>
      <w:r>
        <w:t>MF請求書とSalesforce会計/請求レコードのどちらを正本としますか。</w:t>
      </w:r>
    </w:p>
    <w:p>
      <w:pPr>
        <w:spacing w:after="60"/>
        <w:ind w:left="227" w:hanging="227"/>
      </w:pPr>
      <w:r>
        <w:rPr>
          <w:b/>
          <w:color w:val="2F6F93"/>
        </w:rPr>
        <w:t xml:space="preserve">Q-126  </w:t>
      </w:r>
      <w:r>
        <w:t>請求書番号、案件ID、支払者ID、費目、対象期間を相互に紐付けられますか。</w:t>
      </w:r>
    </w:p>
    <w:p>
      <w:pPr>
        <w:spacing w:after="60"/>
        <w:ind w:left="227" w:hanging="227"/>
      </w:pPr>
      <w:r>
        <w:rPr>
          <w:b/>
          <w:color w:val="2F6F93"/>
        </w:rPr>
        <w:t xml:space="preserve">Q-130  </w:t>
      </w:r>
      <w:r>
        <w:t>支払期限超過時のリマインド、業務停止、責任者通知のルールは何ですか。</w:t>
      </w:r>
    </w:p>
    <w:p>
      <w:pPr>
        <w:spacing w:after="60"/>
        <w:ind w:left="227" w:hanging="227"/>
      </w:pPr>
      <w:r>
        <w:rPr>
          <w:b/>
          <w:color w:val="2F6F93"/>
        </w:rPr>
        <w:t xml:space="preserve">Q-132  </w:t>
      </w:r>
      <w:r>
        <w:t>終結時に未請求時間、未精算実費、預り金、未収金をゼロ確認するゲートを設けますか。</w:t>
      </w:r>
    </w:p>
    <w:p>
      <w:pPr>
        <w:spacing w:after="60"/>
        <w:ind w:left="227" w:hanging="227"/>
      </w:pPr>
      <w:r>
        <w:rPr>
          <w:b/>
          <w:color w:val="2F6F93"/>
        </w:rPr>
        <w:t xml:space="preserve">Q-134  </w:t>
      </w:r>
      <w:r>
        <w:t>売上分析は流入経路、業務類型、担当、料金モデル、支払者類型のどの軸で見たいですか。</w:t>
      </w:r>
    </w:p>
    <w:p>
      <w:pPr>
        <w:pStyle w:val="Heading2"/>
      </w:pPr>
      <w:r>
        <w:t>07 案件計画・日常処理</w:t>
      </w:r>
    </w:p>
    <w:p>
      <w:pPr>
        <w:spacing w:after="60"/>
        <w:ind w:left="227" w:hanging="227"/>
      </w:pPr>
      <w:r>
        <w:rPr>
          <w:b/>
          <w:color w:val="2F6F93"/>
        </w:rPr>
        <w:t xml:space="preserve">Q-137  </w:t>
      </w:r>
      <w:r>
        <w:t>主要論点・手続・関係者・証拠・期限を別オブジェクトで持ちますか。</w:t>
      </w:r>
    </w:p>
    <w:p>
      <w:pPr>
        <w:spacing w:after="60"/>
        <w:ind w:left="227" w:hanging="227"/>
      </w:pPr>
      <w:r>
        <w:rPr>
          <w:b/>
          <w:color w:val="2F6F93"/>
        </w:rPr>
        <w:t xml:space="preserve">Q-138  </w:t>
      </w:r>
      <w:r>
        <w:t>常に1件のnext_action、owner、due_at、waiting_onを必須にしますか。</w:t>
      </w:r>
    </w:p>
    <w:p>
      <w:pPr>
        <w:spacing w:after="60"/>
        <w:ind w:left="227" w:hanging="227"/>
      </w:pPr>
      <w:r>
        <w:rPr>
          <w:b/>
          <w:color w:val="2F6F93"/>
        </w:rPr>
        <w:t xml:space="preserve">Q-144  </w:t>
      </w:r>
      <w:r>
        <w:t>待ち先を依頼者、相手方、裁判所、第三者、所内のどれかで必須管理しますか。</w:t>
      </w:r>
    </w:p>
    <w:p>
      <w:pPr>
        <w:pStyle w:val="Heading2"/>
      </w:pPr>
      <w:r>
        <w:t>08 文書・成果物・納品</w:t>
      </w:r>
    </w:p>
    <w:p>
      <w:pPr>
        <w:spacing w:after="60"/>
        <w:ind w:left="227" w:hanging="227"/>
      </w:pPr>
      <w:r>
        <w:rPr>
          <w:b/>
          <w:color w:val="2F6F93"/>
        </w:rPr>
        <w:t xml:space="preserve">Q-156  </w:t>
      </w:r>
      <w:r>
        <w:t>事務所で扱う文書種別を、受領、作業中、内部、対外、裁判所、会計、終結に分けて列挙できますか。</w:t>
      </w:r>
    </w:p>
    <w:p>
      <w:pPr>
        <w:spacing w:after="60"/>
        <w:ind w:left="227" w:hanging="227"/>
      </w:pPr>
      <w:r>
        <w:rPr>
          <w:b/>
          <w:color w:val="2F6F93"/>
        </w:rPr>
        <w:t xml:space="preserve">Q-157  </w:t>
      </w:r>
      <w:r>
        <w:t>文書の正本は常にBoxとし、Salesforceにはリンクとメタデータだけを置きますか。</w:t>
      </w:r>
    </w:p>
    <w:p>
      <w:pPr>
        <w:spacing w:after="60"/>
        <w:ind w:left="227" w:hanging="227"/>
      </w:pPr>
      <w:r>
        <w:rPr>
          <w:b/>
          <w:color w:val="2F6F93"/>
        </w:rPr>
        <w:t xml:space="preserve">Q-160  </w:t>
      </w:r>
      <w:r>
        <w:t>ファイル名ではなくBoxメタデータで必須にする項目は何ですか。</w:t>
      </w:r>
    </w:p>
    <w:p>
      <w:pPr>
        <w:spacing w:after="60"/>
        <w:ind w:left="227" w:hanging="227"/>
      </w:pPr>
      <w:r>
        <w:rPr>
          <w:b/>
          <w:color w:val="2F6F93"/>
        </w:rPr>
        <w:t xml:space="preserve">Q-174  </w:t>
      </w:r>
      <w:r>
        <w:t>墨消し・匿名化・個人情報チェックをどの成果物で必須にしますか。</w:t>
      </w:r>
    </w:p>
    <w:p>
      <w:pPr>
        <w:pStyle w:val="Heading2"/>
      </w:pPr>
      <w:r>
        <w:t>09 連絡・チャネル統合</w:t>
      </w:r>
    </w:p>
    <w:p>
      <w:pPr>
        <w:spacing w:after="60"/>
        <w:ind w:left="227" w:hanging="227"/>
      </w:pPr>
      <w:r>
        <w:rPr>
          <w:b/>
          <w:color w:val="2F6F93"/>
        </w:rPr>
        <w:t xml:space="preserve">Q-184  </w:t>
      </w:r>
      <w:r>
        <w:t>通話録音、Dialpad文字起こし、Notta再文字起こしのどれを正本・派生としますか。</w:t>
      </w:r>
    </w:p>
    <w:p>
      <w:pPr>
        <w:spacing w:after="60"/>
        <w:ind w:left="227" w:hanging="227"/>
      </w:pPr>
      <w:r>
        <w:rPr>
          <w:b/>
          <w:color w:val="2F6F93"/>
        </w:rPr>
        <w:t xml:space="preserve">Q-190  </w:t>
      </w:r>
      <w:r>
        <w:t>誤送信・誤添付・誤案件紐付けを検知・訂正する手順は何ですか。</w:t>
      </w:r>
    </w:p>
    <w:p>
      <w:pPr>
        <w:spacing w:after="60"/>
        <w:ind w:left="227" w:hanging="227"/>
      </w:pPr>
      <w:r>
        <w:rPr>
          <w:b/>
          <w:color w:val="2F6F93"/>
        </w:rPr>
        <w:t xml:space="preserve">Q-192  </w:t>
      </w:r>
      <w:r>
        <w:t>メール本文中の新しい期限・金額・約束をどこまで自動抽出しますか。</w:t>
      </w:r>
    </w:p>
    <w:p>
      <w:pPr>
        <w:pStyle w:val="Heading2"/>
      </w:pPr>
      <w:r>
        <w:t>10 裁判所・期限・提出</w:t>
      </w:r>
    </w:p>
    <w:p>
      <w:pPr>
        <w:spacing w:after="60"/>
        <w:ind w:left="227" w:hanging="227"/>
      </w:pPr>
      <w:r>
        <w:rPr>
          <w:b/>
          <w:color w:val="2F6F93"/>
        </w:rPr>
        <w:t xml:space="preserve">Q-193  </w:t>
      </w:r>
      <w:r>
        <w:t>期限の発生源を、法定、裁判所指定、相手方指定、依頼者指定、所内目標に分けますか。</w:t>
      </w:r>
    </w:p>
    <w:p>
      <w:pPr>
        <w:spacing w:after="60"/>
        <w:ind w:left="227" w:hanging="227"/>
      </w:pPr>
      <w:r>
        <w:rPr>
          <w:b/>
          <w:color w:val="2F6F93"/>
        </w:rPr>
        <w:t xml:space="preserve">Q-194  </w:t>
      </w:r>
      <w:r>
        <w:t>裁判期日とワークフロー期限を別オブジェクトで管理しますか。</w:t>
      </w:r>
    </w:p>
    <w:p>
      <w:pPr>
        <w:spacing w:after="60"/>
        <w:ind w:left="227" w:hanging="227"/>
      </w:pPr>
      <w:r>
        <w:rPr>
          <w:b/>
          <w:color w:val="2F6F93"/>
        </w:rPr>
        <w:t xml:space="preserve">Q-195  </w:t>
      </w:r>
      <w:r>
        <w:t>期限の正本はSalesforce Deadline、Calendar、紙の期日簿のどれですか。</w:t>
      </w:r>
    </w:p>
    <w:p>
      <w:pPr>
        <w:spacing w:after="60"/>
        <w:ind w:left="227" w:hanging="227"/>
      </w:pPr>
      <w:r>
        <w:rPr>
          <w:b/>
          <w:color w:val="2F6F93"/>
        </w:rPr>
        <w:t xml:space="preserve">Q-196  </w:t>
      </w:r>
      <w:r>
        <w:t>期限入力は誰が行い、二人目の確認を必要とする期限は何ですか。</w:t>
      </w:r>
    </w:p>
    <w:p>
      <w:pPr>
        <w:spacing w:after="60"/>
        <w:ind w:left="227" w:hanging="227"/>
      </w:pPr>
      <w:r>
        <w:rPr>
          <w:b/>
          <w:color w:val="2F6F93"/>
        </w:rPr>
        <w:t xml:space="preserve">Q-197  </w:t>
      </w:r>
      <w:r>
        <w:t>受領日・送達日から計算する期限の起算日証跡を何にしますか。</w:t>
      </w:r>
    </w:p>
    <w:p>
      <w:pPr>
        <w:spacing w:after="60"/>
        <w:ind w:left="227" w:hanging="227"/>
      </w:pPr>
      <w:r>
        <w:rPr>
          <w:b/>
          <w:color w:val="2F6F93"/>
        </w:rPr>
        <w:t xml:space="preserve">Q-198  </w:t>
      </w:r>
      <w:r>
        <w:t>休日・年末年始・裁判所固有運用を期限計算にどう反映しますか。</w:t>
      </w:r>
    </w:p>
    <w:p>
      <w:pPr>
        <w:spacing w:after="60"/>
        <w:ind w:left="227" w:hanging="227"/>
      </w:pPr>
      <w:r>
        <w:rPr>
          <w:b/>
          <w:color w:val="2F6F93"/>
        </w:rPr>
        <w:t xml:space="preserve">Q-199  </w:t>
      </w:r>
      <w:r>
        <w:t>期限の事前通知を何日前・誰に・どのチャネルで出しますか。</w:t>
      </w:r>
    </w:p>
    <w:p>
      <w:pPr>
        <w:spacing w:after="60"/>
        <w:ind w:left="227" w:hanging="227"/>
      </w:pPr>
      <w:r>
        <w:rPr>
          <w:b/>
          <w:color w:val="2F6F93"/>
        </w:rPr>
        <w:t xml:space="preserve">Q-200  </w:t>
      </w:r>
      <w:r>
        <w:t>期限変更・延期・取消を元期限との関係付きで保存しますか。</w:t>
      </w:r>
    </w:p>
    <w:p>
      <w:pPr>
        <w:spacing w:after="60"/>
        <w:ind w:left="227" w:hanging="227"/>
      </w:pPr>
      <w:r>
        <w:rPr>
          <w:b/>
          <w:color w:val="2F6F93"/>
        </w:rPr>
        <w:t xml:space="preserve">Q-203  </w:t>
      </w:r>
      <w:r>
        <w:t>期限超過又はヒヤリハット時のインシデント記録・通知・再発防止はどうしますか。</w:t>
      </w:r>
    </w:p>
    <w:p>
      <w:pPr>
        <w:pStyle w:val="Heading2"/>
      </w:pPr>
      <w:r>
        <w:t>11 成果・終結・知識化</w:t>
      </w:r>
    </w:p>
    <w:p>
      <w:pPr>
        <w:spacing w:after="60"/>
        <w:ind w:left="227" w:hanging="227"/>
      </w:pPr>
      <w:r>
        <w:rPr>
          <w:b/>
          <w:color w:val="2F6F93"/>
        </w:rPr>
        <w:t xml:space="preserve">Q-205  </w:t>
      </w:r>
      <w:r>
        <w:t>業務上の『解決』と『事件終結』をどの条件で分けますか。</w:t>
      </w:r>
    </w:p>
    <w:p>
      <w:pPr>
        <w:spacing w:after="60"/>
        <w:ind w:left="227" w:hanging="227"/>
      </w:pPr>
      <w:r>
        <w:rPr>
          <w:b/>
          <w:color w:val="2F6F93"/>
        </w:rPr>
        <w:t xml:space="preserve">Q-206  </w:t>
      </w:r>
      <w:r>
        <w:t>終結開始を承認する弁護士は誰ですか。</w:t>
      </w:r>
    </w:p>
    <w:p>
      <w:pPr>
        <w:spacing w:after="60"/>
        <w:ind w:left="227" w:hanging="227"/>
      </w:pPr>
      <w:r>
        <w:rPr>
          <w:b/>
          <w:color w:val="2F6F93"/>
        </w:rPr>
        <w:t xml:space="preserve">Q-209  </w:t>
      </w:r>
      <w:r>
        <w:t>和解成立後の支払、登記、引渡し、届出等の履行確認を別タスクで追跡しますか。</w:t>
      </w:r>
    </w:p>
    <w:p>
      <w:pPr>
        <w:spacing w:after="60"/>
        <w:ind w:left="227" w:hanging="227"/>
      </w:pPr>
      <w:r>
        <w:rPr>
          <w:b/>
          <w:color w:val="2F6F93"/>
        </w:rPr>
        <w:t xml:space="preserve">Q-210  </w:t>
      </w:r>
      <w:r>
        <w:t>上訴・異議・取消等の残存期限を終結前に確認するゲートを設けますか。</w:t>
      </w:r>
    </w:p>
    <w:p>
      <w:pPr>
        <w:spacing w:after="60"/>
        <w:ind w:left="227" w:hanging="227"/>
      </w:pPr>
      <w:r>
        <w:rPr>
          <w:b/>
          <w:color w:val="2F6F93"/>
        </w:rPr>
        <w:t xml:space="preserve">Q-213  </w:t>
      </w:r>
      <w:r>
        <w:t>入金前でも業務終結できる場合、業務状態と債権回収状態を分離しますか。</w:t>
      </w:r>
    </w:p>
    <w:p>
      <w:pPr>
        <w:spacing w:after="60"/>
        <w:ind w:left="227" w:hanging="227"/>
      </w:pPr>
      <w:r>
        <w:rPr>
          <w:b/>
          <w:color w:val="2F6F93"/>
        </w:rPr>
        <w:t xml:space="preserve">Q-219  </w:t>
      </w:r>
      <w:r>
        <w:t>終了報告送付後の依頼者受領確認を必須にしますか。</w:t>
      </w:r>
    </w:p>
    <w:p>
      <w:pPr>
        <w:spacing w:after="60"/>
        <w:ind w:left="227" w:hanging="227"/>
      </w:pPr>
      <w:r>
        <w:rPr>
          <w:b/>
          <w:color w:val="2F6F93"/>
        </w:rPr>
        <w:t xml:space="preserve">Q-220  </w:t>
      </w:r>
      <w:r>
        <w:t>今後の期限・保管義務・再相談条件を終了報告へ入れますか。</w:t>
      </w:r>
    </w:p>
    <w:p>
      <w:pPr>
        <w:spacing w:after="60"/>
        <w:ind w:left="227" w:hanging="227"/>
      </w:pPr>
      <w:r>
        <w:rPr>
          <w:b/>
          <w:color w:val="2F6F93"/>
        </w:rPr>
        <w:t xml:space="preserve">Q-221  </w:t>
      </w:r>
      <w:r>
        <w:t>Salesforce CloseDateを入れる前の必須チェック項目は何ですか。</w:t>
      </w:r>
    </w:p>
    <w:p>
      <w:pPr>
        <w:spacing w:after="60"/>
        <w:ind w:left="227" w:hanging="227"/>
      </w:pPr>
      <w:r>
        <w:rPr>
          <w:b/>
          <w:color w:val="2F6F93"/>
        </w:rPr>
        <w:t xml:space="preserve">Q-223  </w:t>
      </w:r>
      <w:r>
        <w:t>終結時に案件サマリー、重要判断、結果、使用ひな形を知識化しますか。</w:t>
      </w:r>
    </w:p>
    <w:p>
      <w:pPr>
        <w:spacing w:after="60"/>
        <w:ind w:left="227" w:hanging="227"/>
      </w:pPr>
      <w:r>
        <w:rPr>
          <w:b/>
          <w:color w:val="2F6F93"/>
        </w:rPr>
        <w:t xml:space="preserve">Q-226  </w:t>
      </w:r>
      <w:r>
        <w:t>終結後の顧客満足・紹介・再依頼のフィードバックを取りますか。</w:t>
      </w:r>
    </w:p>
    <w:p>
      <w:pPr>
        <w:pStyle w:val="Heading2"/>
      </w:pPr>
      <w:r>
        <w:t>12 例外・品質・セキュリティ</w:t>
      </w:r>
    </w:p>
    <w:p>
      <w:pPr>
        <w:spacing w:after="60"/>
        <w:ind w:left="227" w:hanging="227"/>
      </w:pPr>
      <w:r>
        <w:rPr>
          <w:b/>
          <w:color w:val="2F6F93"/>
        </w:rPr>
        <w:t xml:space="preserve">Q-229  </w:t>
      </w:r>
      <w:r>
        <w:t>受任後にコンフリ疑義が生じた場合、作業停止・連絡・記録をどう行いますか。</w:t>
      </w:r>
    </w:p>
    <w:p>
      <w:pPr>
        <w:spacing w:after="60"/>
        <w:ind w:left="227" w:hanging="227"/>
      </w:pPr>
      <w:r>
        <w:rPr>
          <w:b/>
          <w:color w:val="2F6F93"/>
        </w:rPr>
        <w:t xml:space="preserve">Q-239  </w:t>
      </w:r>
      <w:r>
        <w:t>AI出力を業務に使う際、根拠参照・人間レビュー・モデル/versionを必須にしますか。</w:t>
      </w:r>
    </w:p>
    <w:p>
      <w:pPr>
        <w:spacing w:after="60"/>
        <w:ind w:left="227" w:hanging="227"/>
      </w:pPr>
      <w:r>
        <w:rPr>
          <w:b/>
          <w:color w:val="2F6F93"/>
        </w:rPr>
        <w:t xml:space="preserve">Q-243  </w:t>
      </w:r>
      <w:r>
        <w:t>重大な誤送信、期限、請求、コンフリ、情報漏えいを共通incident schemaで記録しますか。</w:t>
      </w:r>
    </w:p>
    <w:p>
      <w:pPr>
        <w:pStyle w:val="Heading1"/>
        <w:pBdr>
          <w:bottom w:val="single" w:sz="8" w:space="4" w:color="2F6F93"/>
        </w:pBdr>
      </w:pPr>
      <w:r>
        <w:t>8. 推奨PoCと暫定受入基準</w:t>
      </w:r>
    </w:p>
    <w:p>
      <w:r>
        <w:t>PoCは、システムを新設することより、実データから状態を再構成し、人間確認を最小化できるかを検証する。</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794"/>
            <w:shd w:fill="2F6F93"/>
            <w:vAlign w:val="center"/>
            <w:tcMar>
              <w:top w:w="70" w:type="dxa"/>
              <w:start w:w="80" w:type="dxa"/>
              <w:bottom w:w="70" w:type="dxa"/>
              <w:end w:w="80" w:type="dxa"/>
            </w:tcMar>
          </w:tcPr>
          <w:p>
            <w:pPr>
              <w:jc w:val="center"/>
            </w:pPr>
            <w:r>
              <w:rPr>
                <w:b/>
                <w:color w:val="FFFFFF"/>
                <w:sz w:val="16"/>
              </w:rPr>
              <w:t>PoC</w:t>
            </w:r>
          </w:p>
        </w:tc>
        <w:tc>
          <w:tcPr>
            <w:tcW w:type="dxa" w:w="1701"/>
            <w:shd w:fill="2F6F93"/>
            <w:vAlign w:val="center"/>
            <w:tcMar>
              <w:top w:w="70" w:type="dxa"/>
              <w:start w:w="80" w:type="dxa"/>
              <w:bottom w:w="70" w:type="dxa"/>
              <w:end w:w="80" w:type="dxa"/>
            </w:tcMar>
          </w:tcPr>
          <w:p>
            <w:pPr>
              <w:jc w:val="center"/>
            </w:pPr>
            <w:r>
              <w:rPr>
                <w:b/>
                <w:color w:val="FFFFFF"/>
                <w:sz w:val="16"/>
              </w:rPr>
              <w:t>対象</w:t>
            </w:r>
          </w:p>
        </w:tc>
        <w:tc>
          <w:tcPr>
            <w:tcW w:type="dxa" w:w="2721"/>
            <w:shd w:fill="2F6F93"/>
            <w:vAlign w:val="center"/>
            <w:tcMar>
              <w:top w:w="70" w:type="dxa"/>
              <w:start w:w="80" w:type="dxa"/>
              <w:bottom w:w="70" w:type="dxa"/>
              <w:end w:w="80" w:type="dxa"/>
            </w:tcMar>
          </w:tcPr>
          <w:p>
            <w:pPr>
              <w:jc w:val="center"/>
            </w:pPr>
            <w:r>
              <w:rPr>
                <w:b/>
                <w:color w:val="FFFFFF"/>
                <w:sz w:val="16"/>
              </w:rPr>
              <w:t>入力</w:t>
            </w:r>
          </w:p>
        </w:tc>
        <w:tc>
          <w:tcPr>
            <w:tcW w:type="dxa" w:w="2948"/>
            <w:shd w:fill="2F6F93"/>
            <w:vAlign w:val="center"/>
            <w:tcMar>
              <w:top w:w="70" w:type="dxa"/>
              <w:start w:w="80" w:type="dxa"/>
              <w:bottom w:w="70" w:type="dxa"/>
              <w:end w:w="80" w:type="dxa"/>
            </w:tcMar>
          </w:tcPr>
          <w:p>
            <w:pPr>
              <w:jc w:val="center"/>
            </w:pPr>
            <w:r>
              <w:rPr>
                <w:b/>
                <w:color w:val="FFFFFF"/>
                <w:sz w:val="16"/>
              </w:rPr>
              <w:t>主出力</w:t>
            </w:r>
          </w:p>
        </w:tc>
        <w:tc>
          <w:tcPr>
            <w:tcW w:type="dxa" w:w="2835"/>
            <w:shd w:fill="2F6F93"/>
            <w:vAlign w:val="center"/>
            <w:tcMar>
              <w:top w:w="70" w:type="dxa"/>
              <w:start w:w="80" w:type="dxa"/>
              <w:bottom w:w="70" w:type="dxa"/>
              <w:end w:w="80" w:type="dxa"/>
            </w:tcMar>
          </w:tcPr>
          <w:p>
            <w:pPr>
              <w:jc w:val="center"/>
            </w:pPr>
            <w:r>
              <w:rPr>
                <w:b/>
                <w:color w:val="FFFFFF"/>
                <w:sz w:val="16"/>
              </w:rPr>
              <w:t>暫定受入基準</w:t>
            </w:r>
          </w:p>
        </w:tc>
      </w:tr>
      <w:tr>
        <w:trPr>
          <w:cantSplit/>
        </w:trPr>
        <w:tc>
          <w:tcPr>
            <w:tcW w:type="dxa" w:w="794"/>
            <w:vAlign w:val="top"/>
            <w:tcMar>
              <w:top w:w="60" w:type="dxa"/>
              <w:start w:w="70" w:type="dxa"/>
              <w:bottom w:w="60" w:type="dxa"/>
              <w:end w:w="70" w:type="dxa"/>
            </w:tcMar>
          </w:tcPr>
          <w:p>
            <w:pPr>
              <w:spacing w:after="0"/>
            </w:pPr>
            <w:r>
              <w:rPr>
                <w:rFonts w:ascii="Noto Sans CJK JP" w:hAnsi="Noto Sans CJK JP" w:eastAsia="Noto Sans CJK JP"/>
                <w:sz w:val="16"/>
              </w:rPr>
              <w:t>1</w:t>
            </w:r>
          </w:p>
        </w:tc>
        <w:tc>
          <w:tcPr>
            <w:tcW w:type="dxa" w:w="1701"/>
            <w:vAlign w:val="top"/>
            <w:tcMar>
              <w:top w:w="60" w:type="dxa"/>
              <w:start w:w="70" w:type="dxa"/>
              <w:bottom w:w="60" w:type="dxa"/>
              <w:end w:w="70" w:type="dxa"/>
            </w:tcMar>
          </w:tcPr>
          <w:p>
            <w:pPr>
              <w:spacing w:after="0"/>
            </w:pPr>
            <w:r>
              <w:rPr>
                <w:rFonts w:ascii="Noto Sans CJK JP" w:hAnsi="Noto Sans CJK JP" w:eastAsia="Noto Sans CJK JP"/>
                <w:sz w:val="16"/>
              </w:rPr>
              <w:t>相談→受任</w:t>
            </w:r>
          </w:p>
        </w:tc>
        <w:tc>
          <w:tcPr>
            <w:tcW w:type="dxa" w:w="2721"/>
            <w:vAlign w:val="top"/>
            <w:tcMar>
              <w:top w:w="60" w:type="dxa"/>
              <w:start w:w="70" w:type="dxa"/>
              <w:bottom w:w="60" w:type="dxa"/>
              <w:end w:w="70" w:type="dxa"/>
            </w:tcMar>
          </w:tcPr>
          <w:p>
            <w:pPr>
              <w:spacing w:after="0"/>
            </w:pPr>
            <w:r>
              <w:rPr>
                <w:rFonts w:ascii="Noto Sans CJK JP" w:hAnsi="Noto Sans CJK JP" w:eastAsia="Noto Sans CJK JP"/>
                <w:sz w:val="16"/>
              </w:rPr>
              <w:t>SF相談、Gmail、Calendar、Box、Dialpad/Notta</w:t>
            </w:r>
          </w:p>
        </w:tc>
        <w:tc>
          <w:tcPr>
            <w:tcW w:type="dxa" w:w="2948"/>
            <w:vAlign w:val="top"/>
            <w:tcMar>
              <w:top w:w="60" w:type="dxa"/>
              <w:start w:w="70" w:type="dxa"/>
              <w:bottom w:w="60" w:type="dxa"/>
              <w:end w:w="70" w:type="dxa"/>
            </w:tcMar>
          </w:tcPr>
          <w:p>
            <w:pPr>
              <w:spacing w:after="0"/>
            </w:pPr>
            <w:r>
              <w:rPr>
                <w:rFonts w:ascii="Noto Sans CJK JP" w:hAnsi="Noto Sans CJK JP" w:eastAsia="Noto Sans CJK JP"/>
                <w:sz w:val="16"/>
              </w:rPr>
              <w:t>event timeline、current state、next action、proposal package、変換/失注</w:t>
            </w:r>
          </w:p>
        </w:tc>
        <w:tc>
          <w:tcPr>
            <w:tcW w:type="dxa" w:w="2835"/>
            <w:vAlign w:val="top"/>
            <w:tcMar>
              <w:top w:w="60" w:type="dxa"/>
              <w:start w:w="70" w:type="dxa"/>
              <w:bottom w:w="60" w:type="dxa"/>
              <w:end w:w="70" w:type="dxa"/>
            </w:tcMar>
          </w:tcPr>
          <w:p>
            <w:pPr>
              <w:spacing w:after="0"/>
            </w:pPr>
            <w:r>
              <w:rPr>
                <w:rFonts w:ascii="Noto Sans CJK JP" w:hAnsi="Noto Sans CJK JP" w:eastAsia="Noto Sans CJK JP"/>
                <w:sz w:val="16"/>
              </w:rPr>
              <w:t>P0遷移は全件source ref付き。自動確定対象はprecisionを高水準にし、曖昧はHITL。open相談のowner/due欠落を可視化。</w:t>
            </w:r>
          </w:p>
        </w:tc>
      </w:tr>
      <w:tr>
        <w:trPr>
          <w:cantSplit/>
        </w:trPr>
        <w:tc>
          <w:tcPr>
            <w:tcW w:type="dxa" w:w="794"/>
            <w:vAlign w:val="top"/>
            <w:tcMar>
              <w:top w:w="60" w:type="dxa"/>
              <w:start w:w="70" w:type="dxa"/>
              <w:bottom w:w="60" w:type="dxa"/>
              <w:end w:w="70" w:type="dxa"/>
            </w:tcMar>
            <w:shd w:fill="F7F9FB"/>
          </w:tcPr>
          <w:p>
            <w:pPr>
              <w:spacing w:after="0"/>
            </w:pPr>
            <w:r>
              <w:rPr>
                <w:rFonts w:ascii="Noto Sans CJK JP" w:hAnsi="Noto Sans CJK JP" w:eastAsia="Noto Sans CJK JP"/>
                <w:sz w:val="16"/>
              </w:rPr>
              <w:t>2</w:t>
            </w:r>
          </w:p>
        </w:tc>
        <w:tc>
          <w:tcPr>
            <w:tcW w:type="dxa" w:w="1701"/>
            <w:vAlign w:val="top"/>
            <w:tcMar>
              <w:top w:w="60" w:type="dxa"/>
              <w:start w:w="70" w:type="dxa"/>
              <w:bottom w:w="60" w:type="dxa"/>
              <w:end w:w="70" w:type="dxa"/>
            </w:tcMar>
            <w:shd w:fill="F7F9FB"/>
          </w:tcPr>
          <w:p>
            <w:pPr>
              <w:spacing w:after="0"/>
            </w:pPr>
            <w:r>
              <w:rPr>
                <w:rFonts w:ascii="Noto Sans CJK JP" w:hAnsi="Noto Sans CJK JP" w:eastAsia="Noto Sans CJK JP"/>
                <w:sz w:val="16"/>
              </w:rPr>
              <w:t>解決→終結</w:t>
            </w:r>
          </w:p>
        </w:tc>
        <w:tc>
          <w:tcPr>
            <w:tcW w:type="dxa" w:w="2721"/>
            <w:vAlign w:val="top"/>
            <w:tcMar>
              <w:top w:w="60" w:type="dxa"/>
              <w:start w:w="70" w:type="dxa"/>
              <w:bottom w:w="60" w:type="dxa"/>
              <w:end w:w="70" w:type="dxa"/>
            </w:tcMar>
            <w:shd w:fill="F7F9FB"/>
          </w:tcPr>
          <w:p>
            <w:pPr>
              <w:spacing w:after="0"/>
            </w:pPr>
            <w:r>
              <w:rPr>
                <w:rFonts w:ascii="Noto Sans CJK JP" w:hAnsi="Noto Sans CJK JP" w:eastAsia="Noto Sans CJK JP"/>
                <w:sz w:val="16"/>
              </w:rPr>
              <w:t>SF案件/Task/Deadline/Finance、MF、Box、メール/郵便</w:t>
            </w:r>
          </w:p>
        </w:tc>
        <w:tc>
          <w:tcPr>
            <w:tcW w:type="dxa" w:w="2948"/>
            <w:vAlign w:val="top"/>
            <w:tcMar>
              <w:top w:w="60" w:type="dxa"/>
              <w:start w:w="70" w:type="dxa"/>
              <w:bottom w:w="60" w:type="dxa"/>
              <w:end w:w="70" w:type="dxa"/>
            </w:tcMar>
            <w:shd w:fill="F7F9FB"/>
          </w:tcPr>
          <w:p>
            <w:pPr>
              <w:spacing w:after="0"/>
            </w:pPr>
            <w:r>
              <w:rPr>
                <w:rFonts w:ascii="Noto Sans CJK JP" w:hAnsi="Noto Sans CJK JP" w:eastAsia="Noto Sans CJK JP"/>
                <w:sz w:val="16"/>
              </w:rPr>
              <w:t>outcome、closing checklist、最終請求、精算、返却、終了package、close decision</w:t>
            </w:r>
          </w:p>
        </w:tc>
        <w:tc>
          <w:tcPr>
            <w:tcW w:type="dxa" w:w="2835"/>
            <w:vAlign w:val="top"/>
            <w:tcMar>
              <w:top w:w="60" w:type="dxa"/>
              <w:start w:w="70" w:type="dxa"/>
              <w:bottom w:w="60" w:type="dxa"/>
              <w:end w:w="70" w:type="dxa"/>
            </w:tcMar>
            <w:shd w:fill="F7F9FB"/>
          </w:tcPr>
          <w:p>
            <w:pPr>
              <w:spacing w:after="0"/>
            </w:pPr>
            <w:r>
              <w:rPr>
                <w:rFonts w:ascii="Noto Sans CJK JP" w:hAnsi="Noto Sans CJK JP" w:eastAsia="Noto Sans CJK JP"/>
                <w:sz w:val="16"/>
              </w:rPr>
              <w:t>close時に未完Task・残期限・未請求/未精算・未返却・未送付の有無が説明可能。例外は承認理由付き。</w:t>
            </w:r>
          </w:p>
        </w:tc>
      </w:tr>
    </w:tbl>
    <w:p/>
    <w:p>
      <w:pPr>
        <w:pStyle w:val="Heading2"/>
      </w:pPr>
      <w:r>
        <w:t>PoC 1で測る指標（確定前の候補）</w:t>
      </w:r>
    </w:p>
    <w:p>
      <w:pPr>
        <w:pStyle w:val="ListBullet"/>
        <w:spacing w:after="40"/>
      </w:pPr>
      <w:r>
        <w:t>問合せ受信から一次返信、相談確定、相談実施、見積送付、契約成立までの各所要時間。</w:t>
      </w:r>
    </w:p>
    <w:p>
      <w:pPr>
        <w:pStyle w:val="ListBullet"/>
        <w:spacing w:after="40"/>
      </w:pPr>
      <w:r>
        <w:t>問い合わせの未捕捉率、既存案件への誤紐付け率、複数案件スレッドの未分割率。</w:t>
      </w:r>
    </w:p>
    <w:p>
      <w:pPr>
        <w:pStyle w:val="ListBullet"/>
        <w:spacing w:after="40"/>
      </w:pPr>
      <w:r>
        <w:t>next_action / owner / due_at / waiting_onの欠落率。</w:t>
      </w:r>
    </w:p>
    <w:p>
      <w:pPr>
        <w:pStyle w:val="ListBullet"/>
        <w:spacing w:after="40"/>
      </w:pPr>
      <w:r>
        <w:t>コンフリ、相談結果、提案送付、契約成立の証跡充足率。</w:t>
      </w:r>
    </w:p>
    <w:p>
      <w:pPr>
        <w:pStyle w:val="ListBullet"/>
        <w:spacing w:after="40"/>
      </w:pPr>
      <w:r>
        <w:t>proposal packageの版一致率と、送付後follow-up生成率。</w:t>
      </w:r>
    </w:p>
    <w:p>
      <w:pPr>
        <w:pStyle w:val="ListBullet"/>
        <w:spacing w:after="40"/>
      </w:pPr>
      <w:r>
        <w:t>人間が候補1件を確認・修正する平均時間。</w:t>
      </w:r>
    </w:p>
    <w:p>
      <w:pPr>
        <w:pStyle w:val="Heading2"/>
      </w:pPr>
      <w:r>
        <w:t>PoC 2で測る指標（確定前の候補）</w:t>
      </w:r>
    </w:p>
    <w:p>
      <w:pPr>
        <w:pStyle w:val="ListBullet"/>
        <w:spacing w:after="40"/>
      </w:pPr>
      <w:r>
        <w:t>解決後に残る履行Task・期限の捕捉率。</w:t>
      </w:r>
    </w:p>
    <w:p>
      <w:pPr>
        <w:pStyle w:val="ListBullet"/>
        <w:spacing w:after="40"/>
      </w:pPr>
      <w:r>
        <w:t>最終請求、入金、実費、預り金、返金、未収の説明可能率。</w:t>
      </w:r>
    </w:p>
    <w:p>
      <w:pPr>
        <w:pStyle w:val="ListBullet"/>
        <w:spacing w:after="40"/>
      </w:pPr>
      <w:r>
        <w:t>預かり原本・物品の返却/保管理由の記録率。</w:t>
      </w:r>
    </w:p>
    <w:p>
      <w:pPr>
        <w:pStyle w:val="ListBullet"/>
        <w:spacing w:after="40"/>
      </w:pPr>
      <w:r>
        <w:t>終了報告・請求・精算・返却物・成果物をclosing packageとして再現できる率。</w:t>
      </w:r>
    </w:p>
    <w:p>
      <w:pPr>
        <w:pStyle w:val="ListBullet"/>
        <w:spacing w:after="40"/>
      </w:pPr>
      <w:r>
        <w:t>Salesforce CloseDateとBox既済化の不整合件数。</w:t>
      </w:r>
    </w:p>
    <w:p>
      <w:pPr>
        <w:pStyle w:val="ListBullet"/>
        <w:spacing w:after="40"/>
      </w:pPr>
      <w:r>
        <w:t>案件知識サマリーの匿名化・根拠参照・承認の充足率。</w:t>
      </w:r>
    </w:p>
    <w:p>
      <w:pPr>
        <w:pStyle w:val="Heading1"/>
        <w:pBdr>
          <w:bottom w:val="single" w:sz="8" w:space="4" w:color="2F6F93"/>
        </w:pBdr>
      </w:pPr>
      <w:r>
        <w:t>9. 実施ロードマップ</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531"/>
            <w:shd w:fill="2F6F93"/>
            <w:vAlign w:val="center"/>
            <w:tcMar>
              <w:top w:w="70" w:type="dxa"/>
              <w:start w:w="80" w:type="dxa"/>
              <w:bottom w:w="70" w:type="dxa"/>
              <w:end w:w="80" w:type="dxa"/>
            </w:tcMar>
          </w:tcPr>
          <w:p>
            <w:pPr>
              <w:jc w:val="center"/>
            </w:pPr>
            <w:r>
              <w:rPr>
                <w:b/>
                <w:color w:val="FFFFFF"/>
                <w:sz w:val="16"/>
              </w:rPr>
              <w:t>段階</w:t>
            </w:r>
          </w:p>
        </w:tc>
        <w:tc>
          <w:tcPr>
            <w:tcW w:type="dxa" w:w="1304"/>
            <w:shd w:fill="2F6F93"/>
            <w:vAlign w:val="center"/>
            <w:tcMar>
              <w:top w:w="70" w:type="dxa"/>
              <w:start w:w="80" w:type="dxa"/>
              <w:bottom w:w="70" w:type="dxa"/>
              <w:end w:w="80" w:type="dxa"/>
            </w:tcMar>
          </w:tcPr>
          <w:p>
            <w:pPr>
              <w:jc w:val="center"/>
            </w:pPr>
            <w:r>
              <w:rPr>
                <w:b/>
                <w:color w:val="FFFFFF"/>
                <w:sz w:val="16"/>
              </w:rPr>
              <w:t>期間目安</w:t>
            </w:r>
          </w:p>
        </w:tc>
        <w:tc>
          <w:tcPr>
            <w:tcW w:type="dxa" w:w="4365"/>
            <w:shd w:fill="2F6F93"/>
            <w:vAlign w:val="center"/>
            <w:tcMar>
              <w:top w:w="70" w:type="dxa"/>
              <w:start w:w="80" w:type="dxa"/>
              <w:bottom w:w="70" w:type="dxa"/>
              <w:end w:w="80" w:type="dxa"/>
            </w:tcMar>
          </w:tcPr>
          <w:p>
            <w:pPr>
              <w:jc w:val="center"/>
            </w:pPr>
            <w:r>
              <w:rPr>
                <w:b/>
                <w:color w:val="FFFFFF"/>
                <w:sz w:val="16"/>
              </w:rPr>
              <w:t>成果物</w:t>
            </w:r>
          </w:p>
        </w:tc>
        <w:tc>
          <w:tcPr>
            <w:tcW w:type="dxa" w:w="3288"/>
            <w:shd w:fill="2F6F93"/>
            <w:vAlign w:val="center"/>
            <w:tcMar>
              <w:top w:w="70" w:type="dxa"/>
              <w:start w:w="80" w:type="dxa"/>
              <w:bottom w:w="70" w:type="dxa"/>
              <w:end w:w="80" w:type="dxa"/>
            </w:tcMar>
          </w:tcPr>
          <w:p>
            <w:pPr>
              <w:jc w:val="center"/>
            </w:pPr>
            <w:r>
              <w:rPr>
                <w:b/>
                <w:color w:val="FFFFFF"/>
                <w:sz w:val="16"/>
              </w:rPr>
              <w:t>終了条件</w:t>
            </w:r>
          </w:p>
        </w:tc>
      </w:tr>
      <w:tr>
        <w:trPr>
          <w:cantSplit/>
        </w:trPr>
        <w:tc>
          <w:tcPr>
            <w:tcW w:type="dxa" w:w="1531"/>
            <w:vAlign w:val="top"/>
            <w:tcMar>
              <w:top w:w="60" w:type="dxa"/>
              <w:start w:w="70" w:type="dxa"/>
              <w:bottom w:w="60" w:type="dxa"/>
              <w:end w:w="70" w:type="dxa"/>
            </w:tcMar>
          </w:tcPr>
          <w:p>
            <w:pPr>
              <w:spacing w:after="0"/>
            </w:pPr>
            <w:r>
              <w:rPr>
                <w:rFonts w:ascii="Noto Sans CJK JP" w:hAnsi="Noto Sans CJK JP" w:eastAsia="Noto Sans CJK JP"/>
                <w:sz w:val="16"/>
              </w:rPr>
              <w:t>0. Discovery</w:t>
            </w:r>
          </w:p>
        </w:tc>
        <w:tc>
          <w:tcPr>
            <w:tcW w:type="dxa" w:w="1304"/>
            <w:vAlign w:val="top"/>
            <w:tcMar>
              <w:top w:w="60" w:type="dxa"/>
              <w:start w:w="70" w:type="dxa"/>
              <w:bottom w:w="60" w:type="dxa"/>
              <w:end w:w="70" w:type="dxa"/>
            </w:tcMar>
          </w:tcPr>
          <w:p>
            <w:pPr>
              <w:spacing w:after="0"/>
            </w:pPr>
            <w:r>
              <w:rPr>
                <w:rFonts w:ascii="Noto Sans CJK JP" w:hAnsi="Noto Sans CJK JP" w:eastAsia="Noto Sans CJK JP"/>
                <w:sz w:val="16"/>
              </w:rPr>
              <w:t>1〜2週</w:t>
            </w:r>
          </w:p>
        </w:tc>
        <w:tc>
          <w:tcPr>
            <w:tcW w:type="dxa" w:w="4365"/>
            <w:vAlign w:val="top"/>
            <w:tcMar>
              <w:top w:w="60" w:type="dxa"/>
              <w:start w:w="70" w:type="dxa"/>
              <w:bottom w:w="60" w:type="dxa"/>
              <w:end w:w="70" w:type="dxa"/>
            </w:tcMar>
          </w:tcPr>
          <w:p>
            <w:pPr>
              <w:spacing w:after="0"/>
            </w:pPr>
            <w:r>
              <w:rPr>
                <w:rFonts w:ascii="Noto Sans CJK JP" w:hAnsi="Noto Sans CJK JP" w:eastAsia="Noto Sans CJK JP"/>
                <w:sz w:val="16"/>
              </w:rPr>
              <w:t>本台帳のP0回答、システム正本表、データ取得許可、層化サンプル</w:t>
            </w:r>
          </w:p>
        </w:tc>
        <w:tc>
          <w:tcPr>
            <w:tcW w:type="dxa" w:w="3288"/>
            <w:vAlign w:val="top"/>
            <w:tcMar>
              <w:top w:w="60" w:type="dxa"/>
              <w:start w:w="70" w:type="dxa"/>
              <w:bottom w:w="60" w:type="dxa"/>
              <w:end w:w="70" w:type="dxa"/>
            </w:tcMar>
          </w:tcPr>
          <w:p>
            <w:pPr>
              <w:spacing w:after="0"/>
            </w:pPr>
            <w:r>
              <w:rPr>
                <w:rFonts w:ascii="Noto Sans CJK JP" w:hAnsi="Noto Sans CJK JP" w:eastAsia="Noto Sans CJK JP"/>
                <w:sz w:val="16"/>
              </w:rPr>
              <w:t>P0未決をDecision Logへ集約</w:t>
            </w:r>
          </w:p>
        </w:tc>
      </w:tr>
      <w:tr>
        <w:trPr>
          <w:cantSplit/>
        </w:trPr>
        <w:tc>
          <w:tcPr>
            <w:tcW w:type="dxa" w:w="1531"/>
            <w:vAlign w:val="top"/>
            <w:tcMar>
              <w:top w:w="60" w:type="dxa"/>
              <w:start w:w="70" w:type="dxa"/>
              <w:bottom w:w="60" w:type="dxa"/>
              <w:end w:w="70" w:type="dxa"/>
            </w:tcMar>
            <w:shd w:fill="F7F9FB"/>
          </w:tcPr>
          <w:p>
            <w:pPr>
              <w:spacing w:after="0"/>
            </w:pPr>
            <w:r>
              <w:rPr>
                <w:rFonts w:ascii="Noto Sans CJK JP" w:hAnsi="Noto Sans CJK JP" w:eastAsia="Noto Sans CJK JP"/>
                <w:sz w:val="16"/>
              </w:rPr>
              <w:t>1. Observation Model</w:t>
            </w:r>
          </w:p>
        </w:tc>
        <w:tc>
          <w:tcPr>
            <w:tcW w:type="dxa" w:w="1304"/>
            <w:vAlign w:val="top"/>
            <w:tcMar>
              <w:top w:w="60" w:type="dxa"/>
              <w:start w:w="70" w:type="dxa"/>
              <w:bottom w:w="60" w:type="dxa"/>
              <w:end w:w="70" w:type="dxa"/>
            </w:tcMar>
            <w:shd w:fill="F7F9FB"/>
          </w:tcPr>
          <w:p>
            <w:pPr>
              <w:spacing w:after="0"/>
            </w:pPr>
            <w:r>
              <w:rPr>
                <w:rFonts w:ascii="Noto Sans CJK JP" w:hAnsi="Noto Sans CJK JP" w:eastAsia="Noto Sans CJK JP"/>
                <w:sz w:val="16"/>
              </w:rPr>
              <w:t>1〜2週</w:t>
            </w:r>
          </w:p>
        </w:tc>
        <w:tc>
          <w:tcPr>
            <w:tcW w:type="dxa" w:w="4365"/>
            <w:vAlign w:val="top"/>
            <w:tcMar>
              <w:top w:w="60" w:type="dxa"/>
              <w:start w:w="70" w:type="dxa"/>
              <w:bottom w:w="60" w:type="dxa"/>
              <w:end w:w="70" w:type="dxa"/>
            </w:tcMar>
            <w:shd w:fill="F7F9FB"/>
          </w:tcPr>
          <w:p>
            <w:pPr>
              <w:spacing w:after="0"/>
            </w:pPr>
            <w:r>
              <w:rPr>
                <w:rFonts w:ascii="Noto Sans CJK JP" w:hAnsi="Noto Sans CJK JP" w:eastAsia="Noto Sans CJK JP"/>
                <w:sz w:val="16"/>
              </w:rPr>
              <w:t>event schema、Party/Document/Finance refs、訂正/レビュー規則</w:t>
            </w:r>
          </w:p>
        </w:tc>
        <w:tc>
          <w:tcPr>
            <w:tcW w:type="dxa" w:w="3288"/>
            <w:vAlign w:val="top"/>
            <w:tcMar>
              <w:top w:w="60" w:type="dxa"/>
              <w:start w:w="70" w:type="dxa"/>
              <w:bottom w:w="60" w:type="dxa"/>
              <w:end w:w="70" w:type="dxa"/>
            </w:tcMar>
            <w:shd w:fill="F7F9FB"/>
          </w:tcPr>
          <w:p>
            <w:pPr>
              <w:spacing w:after="0"/>
            </w:pPr>
            <w:r>
              <w:rPr>
                <w:rFonts w:ascii="Noto Sans CJK JP" w:hAnsi="Noto Sans CJK JP" w:eastAsia="Noto Sans CJK JP"/>
                <w:sz w:val="16"/>
              </w:rPr>
              <w:t>匿名例と実例で再現可能</w:t>
            </w:r>
          </w:p>
        </w:tc>
      </w:tr>
      <w:tr>
        <w:trPr>
          <w:cantSplit/>
        </w:trPr>
        <w:tc>
          <w:tcPr>
            <w:tcW w:type="dxa" w:w="1531"/>
            <w:vAlign w:val="top"/>
            <w:tcMar>
              <w:top w:w="60" w:type="dxa"/>
              <w:start w:w="70" w:type="dxa"/>
              <w:bottom w:w="60" w:type="dxa"/>
              <w:end w:w="70" w:type="dxa"/>
            </w:tcMar>
          </w:tcPr>
          <w:p>
            <w:pPr>
              <w:spacing w:after="0"/>
            </w:pPr>
            <w:r>
              <w:rPr>
                <w:rFonts w:ascii="Noto Sans CJK JP" w:hAnsi="Noto Sans CJK JP" w:eastAsia="Noto Sans CJK JP"/>
                <w:sz w:val="16"/>
              </w:rPr>
              <w:t>2. PoC 1 Gold</w:t>
            </w:r>
          </w:p>
        </w:tc>
        <w:tc>
          <w:tcPr>
            <w:tcW w:type="dxa" w:w="1304"/>
            <w:vAlign w:val="top"/>
            <w:tcMar>
              <w:top w:w="60" w:type="dxa"/>
              <w:start w:w="70" w:type="dxa"/>
              <w:bottom w:w="60" w:type="dxa"/>
              <w:end w:w="70" w:type="dxa"/>
            </w:tcMar>
          </w:tcPr>
          <w:p>
            <w:pPr>
              <w:spacing w:after="0"/>
            </w:pPr>
            <w:r>
              <w:rPr>
                <w:rFonts w:ascii="Noto Sans CJK JP" w:hAnsi="Noto Sans CJK JP" w:eastAsia="Noto Sans CJK JP"/>
                <w:sz w:val="16"/>
              </w:rPr>
              <w:t>1〜2週</w:t>
            </w:r>
          </w:p>
        </w:tc>
        <w:tc>
          <w:tcPr>
            <w:tcW w:type="dxa" w:w="4365"/>
            <w:vAlign w:val="top"/>
            <w:tcMar>
              <w:top w:w="60" w:type="dxa"/>
              <w:start w:w="70" w:type="dxa"/>
              <w:bottom w:w="60" w:type="dxa"/>
              <w:end w:w="70" w:type="dxa"/>
            </w:tcMar>
          </w:tcPr>
          <w:p>
            <w:pPr>
              <w:spacing w:after="0"/>
            </w:pPr>
            <w:r>
              <w:rPr>
                <w:rFonts w:ascii="Noto Sans CJK JP" w:hAnsi="Noto Sans CJK JP" w:eastAsia="Noto Sans CJK JP"/>
                <w:sz w:val="16"/>
              </w:rPr>
              <w:t>相談→受任のgold timelineと抽出評価</w:t>
            </w:r>
          </w:p>
        </w:tc>
        <w:tc>
          <w:tcPr>
            <w:tcW w:type="dxa" w:w="3288"/>
            <w:vAlign w:val="top"/>
            <w:tcMar>
              <w:top w:w="60" w:type="dxa"/>
              <w:start w:w="70" w:type="dxa"/>
              <w:bottom w:w="60" w:type="dxa"/>
              <w:end w:w="70" w:type="dxa"/>
            </w:tcMar>
          </w:tcPr>
          <w:p>
            <w:pPr>
              <w:spacing w:after="0"/>
            </w:pPr>
            <w:r>
              <w:rPr>
                <w:rFonts w:ascii="Noto Sans CJK JP" w:hAnsi="Noto Sans CJK JP" w:eastAsia="Noto Sans CJK JP"/>
                <w:sz w:val="16"/>
              </w:rPr>
              <w:t>誤り類型・閾値・HITL UIが決定</w:t>
            </w:r>
          </w:p>
        </w:tc>
      </w:tr>
      <w:tr>
        <w:trPr>
          <w:cantSplit/>
        </w:trPr>
        <w:tc>
          <w:tcPr>
            <w:tcW w:type="dxa" w:w="1531"/>
            <w:vAlign w:val="top"/>
            <w:tcMar>
              <w:top w:w="60" w:type="dxa"/>
              <w:start w:w="70" w:type="dxa"/>
              <w:bottom w:w="60" w:type="dxa"/>
              <w:end w:w="70" w:type="dxa"/>
            </w:tcMar>
            <w:shd w:fill="F7F9FB"/>
          </w:tcPr>
          <w:p>
            <w:pPr>
              <w:spacing w:after="0"/>
            </w:pPr>
            <w:r>
              <w:rPr>
                <w:rFonts w:ascii="Noto Sans CJK JP" w:hAnsi="Noto Sans CJK JP" w:eastAsia="Noto Sans CJK JP"/>
                <w:sz w:val="16"/>
              </w:rPr>
              <w:t>3. PoC 1 Run</w:t>
            </w:r>
          </w:p>
        </w:tc>
        <w:tc>
          <w:tcPr>
            <w:tcW w:type="dxa" w:w="1304"/>
            <w:vAlign w:val="top"/>
            <w:tcMar>
              <w:top w:w="60" w:type="dxa"/>
              <w:start w:w="70" w:type="dxa"/>
              <w:bottom w:w="60" w:type="dxa"/>
              <w:end w:w="70" w:type="dxa"/>
            </w:tcMar>
            <w:shd w:fill="F7F9FB"/>
          </w:tcPr>
          <w:p>
            <w:pPr>
              <w:spacing w:after="0"/>
            </w:pPr>
            <w:r>
              <w:rPr>
                <w:rFonts w:ascii="Noto Sans CJK JP" w:hAnsi="Noto Sans CJK JP" w:eastAsia="Noto Sans CJK JP"/>
                <w:sz w:val="16"/>
              </w:rPr>
              <w:t>2〜4週</w:t>
            </w:r>
          </w:p>
        </w:tc>
        <w:tc>
          <w:tcPr>
            <w:tcW w:type="dxa" w:w="4365"/>
            <w:vAlign w:val="top"/>
            <w:tcMar>
              <w:top w:w="60" w:type="dxa"/>
              <w:start w:w="70" w:type="dxa"/>
              <w:bottom w:w="60" w:type="dxa"/>
              <w:end w:w="70" w:type="dxa"/>
            </w:tcMar>
            <w:shd w:fill="F7F9FB"/>
          </w:tcPr>
          <w:p>
            <w:pPr>
              <w:spacing w:after="0"/>
            </w:pPr>
            <w:r>
              <w:rPr>
                <w:rFonts w:ascii="Noto Sans CJK JP" w:hAnsi="Noto Sans CJK JP" w:eastAsia="Noto Sans CJK JP"/>
                <w:sz w:val="16"/>
              </w:rPr>
              <w:t>直近期間のevent ingest、reconciliation、next action候補</w:t>
            </w:r>
          </w:p>
        </w:tc>
        <w:tc>
          <w:tcPr>
            <w:tcW w:type="dxa" w:w="3288"/>
            <w:vAlign w:val="top"/>
            <w:tcMar>
              <w:top w:w="60" w:type="dxa"/>
              <w:start w:w="70" w:type="dxa"/>
              <w:bottom w:w="60" w:type="dxa"/>
              <w:end w:w="70" w:type="dxa"/>
            </w:tcMar>
            <w:shd w:fill="F7F9FB"/>
          </w:tcPr>
          <w:p>
            <w:pPr>
              <w:spacing w:after="0"/>
            </w:pPr>
            <w:r>
              <w:rPr>
                <w:rFonts w:ascii="Noto Sans CJK JP" w:hAnsi="Noto Sans CJK JP" w:eastAsia="Noto Sans CJK JP"/>
                <w:sz w:val="16"/>
              </w:rPr>
              <w:t>業務負担とKPI改善が確認できる</w:t>
            </w:r>
          </w:p>
        </w:tc>
      </w:tr>
      <w:tr>
        <w:trPr>
          <w:cantSplit/>
        </w:trPr>
        <w:tc>
          <w:tcPr>
            <w:tcW w:type="dxa" w:w="1531"/>
            <w:vAlign w:val="top"/>
            <w:tcMar>
              <w:top w:w="60" w:type="dxa"/>
              <w:start w:w="70" w:type="dxa"/>
              <w:bottom w:w="60" w:type="dxa"/>
              <w:end w:w="70" w:type="dxa"/>
            </w:tcMar>
          </w:tcPr>
          <w:p>
            <w:pPr>
              <w:spacing w:after="0"/>
            </w:pPr>
            <w:r>
              <w:rPr>
                <w:rFonts w:ascii="Noto Sans CJK JP" w:hAnsi="Noto Sans CJK JP" w:eastAsia="Noto Sans CJK JP"/>
                <w:sz w:val="16"/>
              </w:rPr>
              <w:t>4. PoC 2</w:t>
            </w:r>
          </w:p>
        </w:tc>
        <w:tc>
          <w:tcPr>
            <w:tcW w:type="dxa" w:w="1304"/>
            <w:vAlign w:val="top"/>
            <w:tcMar>
              <w:top w:w="60" w:type="dxa"/>
              <w:start w:w="70" w:type="dxa"/>
              <w:bottom w:w="60" w:type="dxa"/>
              <w:end w:w="70" w:type="dxa"/>
            </w:tcMar>
          </w:tcPr>
          <w:p>
            <w:pPr>
              <w:spacing w:after="0"/>
            </w:pPr>
            <w:r>
              <w:rPr>
                <w:rFonts w:ascii="Noto Sans CJK JP" w:hAnsi="Noto Sans CJK JP" w:eastAsia="Noto Sans CJK JP"/>
                <w:sz w:val="16"/>
              </w:rPr>
              <w:t>2〜4週</w:t>
            </w:r>
          </w:p>
        </w:tc>
        <w:tc>
          <w:tcPr>
            <w:tcW w:type="dxa" w:w="4365"/>
            <w:vAlign w:val="top"/>
            <w:tcMar>
              <w:top w:w="60" w:type="dxa"/>
              <w:start w:w="70" w:type="dxa"/>
              <w:bottom w:w="60" w:type="dxa"/>
              <w:end w:w="70" w:type="dxa"/>
            </w:tcMar>
          </w:tcPr>
          <w:p>
            <w:pPr>
              <w:spacing w:after="0"/>
            </w:pPr>
            <w:r>
              <w:rPr>
                <w:rFonts w:ascii="Noto Sans CJK JP" w:hAnsi="Noto Sans CJK JP" w:eastAsia="Noto Sans CJK JP"/>
                <w:sz w:val="16"/>
              </w:rPr>
              <w:t>closing checklist/package、財務・原本・期限照合</w:t>
            </w:r>
          </w:p>
        </w:tc>
        <w:tc>
          <w:tcPr>
            <w:tcW w:type="dxa" w:w="3288"/>
            <w:vAlign w:val="top"/>
            <w:tcMar>
              <w:top w:w="60" w:type="dxa"/>
              <w:start w:w="70" w:type="dxa"/>
              <w:bottom w:w="60" w:type="dxa"/>
              <w:end w:w="70" w:type="dxa"/>
            </w:tcMar>
          </w:tcPr>
          <w:p>
            <w:pPr>
              <w:spacing w:after="0"/>
            </w:pPr>
            <w:r>
              <w:rPr>
                <w:rFonts w:ascii="Noto Sans CJK JP" w:hAnsi="Noto Sans CJK JP" w:eastAsia="Noto Sans CJK JP"/>
                <w:sz w:val="16"/>
              </w:rPr>
              <w:t>安全にclose判定できる</w:t>
            </w:r>
          </w:p>
        </w:tc>
      </w:tr>
      <w:tr>
        <w:trPr>
          <w:cantSplit/>
        </w:trPr>
        <w:tc>
          <w:tcPr>
            <w:tcW w:type="dxa" w:w="1531"/>
            <w:vAlign w:val="top"/>
            <w:tcMar>
              <w:top w:w="60" w:type="dxa"/>
              <w:start w:w="70" w:type="dxa"/>
              <w:bottom w:w="60" w:type="dxa"/>
              <w:end w:w="70" w:type="dxa"/>
            </w:tcMar>
            <w:shd w:fill="F7F9FB"/>
          </w:tcPr>
          <w:p>
            <w:pPr>
              <w:spacing w:after="0"/>
            </w:pPr>
            <w:r>
              <w:rPr>
                <w:rFonts w:ascii="Noto Sans CJK JP" w:hAnsi="Noto Sans CJK JP" w:eastAsia="Noto Sans CJK JP"/>
                <w:sz w:val="16"/>
              </w:rPr>
              <w:t>5. Scale</w:t>
            </w:r>
          </w:p>
        </w:tc>
        <w:tc>
          <w:tcPr>
            <w:tcW w:type="dxa" w:w="1304"/>
            <w:vAlign w:val="top"/>
            <w:tcMar>
              <w:top w:w="60" w:type="dxa"/>
              <w:start w:w="70" w:type="dxa"/>
              <w:bottom w:w="60" w:type="dxa"/>
              <w:end w:w="70" w:type="dxa"/>
            </w:tcMar>
            <w:shd w:fill="F7F9FB"/>
          </w:tcPr>
          <w:p>
            <w:pPr>
              <w:spacing w:after="0"/>
            </w:pPr>
            <w:r>
              <w:rPr>
                <w:rFonts w:ascii="Noto Sans CJK JP" w:hAnsi="Noto Sans CJK JP" w:eastAsia="Noto Sans CJK JP"/>
                <w:sz w:val="16"/>
              </w:rPr>
              <w:t>以後</w:t>
            </w:r>
          </w:p>
        </w:tc>
        <w:tc>
          <w:tcPr>
            <w:tcW w:type="dxa" w:w="4365"/>
            <w:vAlign w:val="top"/>
            <w:tcMar>
              <w:top w:w="60" w:type="dxa"/>
              <w:start w:w="70" w:type="dxa"/>
              <w:bottom w:w="60" w:type="dxa"/>
              <w:end w:w="70" w:type="dxa"/>
            </w:tcMar>
            <w:shd w:fill="F7F9FB"/>
          </w:tcPr>
          <w:p>
            <w:pPr>
              <w:spacing w:after="0"/>
            </w:pPr>
            <w:r>
              <w:rPr>
                <w:rFonts w:ascii="Noto Sans CJK JP" w:hAnsi="Noto Sans CJK JP" w:eastAsia="Noto Sans CJK JP"/>
                <w:sz w:val="16"/>
              </w:rPr>
              <w:t>類型別flow、全期間遡及、改善ループ</w:t>
            </w:r>
          </w:p>
        </w:tc>
        <w:tc>
          <w:tcPr>
            <w:tcW w:type="dxa" w:w="3288"/>
            <w:vAlign w:val="top"/>
            <w:tcMar>
              <w:top w:w="60" w:type="dxa"/>
              <w:start w:w="70" w:type="dxa"/>
              <w:bottom w:w="60" w:type="dxa"/>
              <w:end w:w="70" w:type="dxa"/>
            </w:tcMar>
            <w:shd w:fill="F7F9FB"/>
          </w:tcPr>
          <w:p>
            <w:pPr>
              <w:spacing w:after="0"/>
            </w:pPr>
            <w:r>
              <w:rPr>
                <w:rFonts w:ascii="Noto Sans CJK JP" w:hAnsi="Noto Sans CJK JP" w:eastAsia="Noto Sans CJK JP"/>
                <w:sz w:val="16"/>
              </w:rPr>
              <w:t>品質ゲートと運用ownerが定着</w:t>
            </w:r>
          </w:p>
        </w:tc>
      </w:tr>
    </w:tbl>
    <w:p/>
    <w:p>
      <w:pPr>
        <w:pStyle w:val="Heading2"/>
      </w:pPr>
      <w:r>
        <w:t>実装時の禁止事項</w:t>
      </w:r>
    </w:p>
    <w:p>
      <w:pPr>
        <w:pStyle w:val="ListBullet"/>
        <w:spacing w:after="40"/>
      </w:pPr>
      <w:r>
        <w:t>メールや録音を要約だけに置換してrawを失うこと。</w:t>
      </w:r>
    </w:p>
    <w:p>
      <w:pPr>
        <w:pStyle w:val="ListBullet"/>
        <w:spacing w:after="40"/>
      </w:pPr>
      <w:r>
        <w:t>AI推定だけでコンフリ通過、受任、最終送付、請求、終結を確定すること。</w:t>
      </w:r>
    </w:p>
    <w:p>
      <w:pPr>
        <w:pStyle w:val="ListBullet"/>
        <w:spacing w:after="40"/>
      </w:pPr>
      <w:r>
        <w:t>ファイル名の『最終』『確定』だけでfinalを判定すること。</w:t>
      </w:r>
    </w:p>
    <w:p>
      <w:pPr>
        <w:pStyle w:val="ListBullet"/>
        <w:spacing w:after="40"/>
      </w:pPr>
      <w:r>
        <w:t>状態を1列へ押し込み、作業・文書・財務・期限の独立状態を失うこと。</w:t>
      </w:r>
    </w:p>
    <w:p>
      <w:pPr>
        <w:pStyle w:val="ListBullet"/>
        <w:spacing w:after="40"/>
      </w:pPr>
      <w:r>
        <w:t>元ソースID、抽出器version、確信度、レビュー者を持たない派生データを正本へ書くこと。</w:t>
      </w:r>
    </w:p>
    <w:p>
      <w:pPr>
        <w:pStyle w:val="ListBullet"/>
        <w:spacing w:after="40"/>
      </w:pPr>
      <w:r>
        <w:t>入力率が低い既存項目を、意味・更新者・業務利用を確認せず必須化すること。</w:t>
      </w:r>
    </w:p>
    <w:p>
      <w:pPr>
        <w:pStyle w:val="ListBullet"/>
        <w:spacing w:after="40"/>
      </w:pPr>
      <w:r>
        <w:t>個別案件本文を大量複製し、権限境界や保存方針を曖昧にすること。</w:t>
      </w:r>
    </w:p>
    <w:p>
      <w:pPr>
        <w:pStyle w:val="Heading1"/>
        <w:pBdr>
          <w:bottom w:val="single" w:sz="8" w:space="4" w:color="2F6F93"/>
        </w:pBdr>
      </w:pPr>
      <w:r>
        <w:t>10. 本パックの成果物と使い方</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855"/>
            <w:shd w:fill="2F6F93"/>
            <w:vAlign w:val="center"/>
            <w:tcMar>
              <w:top w:w="70" w:type="dxa"/>
              <w:start w:w="80" w:type="dxa"/>
              <w:bottom w:w="70" w:type="dxa"/>
              <w:end w:w="80" w:type="dxa"/>
            </w:tcMar>
          </w:tcPr>
          <w:p>
            <w:pPr>
              <w:jc w:val="center"/>
            </w:pPr>
            <w:r>
              <w:rPr>
                <w:b/>
                <w:color w:val="FFFFFF"/>
                <w:sz w:val="17"/>
              </w:rPr>
              <w:t>成果物</w:t>
            </w:r>
          </w:p>
        </w:tc>
        <w:tc>
          <w:tcPr>
            <w:tcW w:type="dxa" w:w="6803"/>
            <w:shd w:fill="2F6F93"/>
            <w:vAlign w:val="center"/>
            <w:tcMar>
              <w:top w:w="70" w:type="dxa"/>
              <w:start w:w="80" w:type="dxa"/>
              <w:bottom w:w="70" w:type="dxa"/>
              <w:end w:w="80" w:type="dxa"/>
            </w:tcMar>
          </w:tcPr>
          <w:p>
            <w:pPr>
              <w:jc w:val="center"/>
            </w:pPr>
            <w:r>
              <w:rPr>
                <w:b/>
                <w:color w:val="FFFFFF"/>
                <w:sz w:val="17"/>
              </w:rPr>
              <w:t>用途</w:t>
            </w:r>
          </w:p>
        </w:tc>
      </w:tr>
      <w:tr>
        <w:trPr>
          <w:cantSplit/>
        </w:trPr>
        <w:tc>
          <w:tcPr>
            <w:tcW w:type="dxa" w:w="3855"/>
            <w:vAlign w:val="top"/>
            <w:tcMar>
              <w:top w:w="60" w:type="dxa"/>
              <w:start w:w="70" w:type="dxa"/>
              <w:bottom w:w="60" w:type="dxa"/>
              <w:end w:w="70" w:type="dxa"/>
            </w:tcMar>
          </w:tcPr>
          <w:p>
            <w:pPr>
              <w:spacing w:after="0"/>
            </w:pPr>
            <w:r>
              <w:rPr>
                <w:rFonts w:ascii="Noto Sans CJK JP" w:hAnsi="Noto Sans CJK JP" w:eastAsia="Noto Sans CJK JP"/>
                <w:sz w:val="17"/>
              </w:rPr>
              <w:t>本書（DOCX）</w:t>
            </w:r>
          </w:p>
        </w:tc>
        <w:tc>
          <w:tcPr>
            <w:tcW w:type="dxa" w:w="6803"/>
            <w:vAlign w:val="top"/>
            <w:tcMar>
              <w:top w:w="60" w:type="dxa"/>
              <w:start w:w="70" w:type="dxa"/>
              <w:bottom w:w="60" w:type="dxa"/>
              <w:end w:w="70" w:type="dxa"/>
            </w:tcMar>
          </w:tcPr>
          <w:p>
            <w:pPr>
              <w:spacing w:after="0"/>
            </w:pPr>
            <w:r>
              <w:rPr>
                <w:rFonts w:ascii="Noto Sans CJK JP" w:hAnsi="Noto Sans CJK JP" w:eastAsia="Noto Sans CJK JP"/>
                <w:sz w:val="17"/>
              </w:rPr>
              <w:t>設計思想、初期実査、対象モデル、P0質問、PoC計画の説明・合意形成</w:t>
            </w:r>
          </w:p>
        </w:tc>
      </w:tr>
      <w:tr>
        <w:trPr>
          <w:cantSplit/>
        </w:trPr>
        <w:tc>
          <w:tcPr>
            <w:tcW w:type="dxa" w:w="3855"/>
            <w:vAlign w:val="top"/>
            <w:tcMar>
              <w:top w:w="60" w:type="dxa"/>
              <w:start w:w="70" w:type="dxa"/>
              <w:bottom w:w="60" w:type="dxa"/>
              <w:end w:w="70" w:type="dxa"/>
            </w:tcMar>
            <w:shd w:fill="F7F9FB"/>
          </w:tcPr>
          <w:p>
            <w:pPr>
              <w:spacing w:after="0"/>
            </w:pPr>
            <w:r>
              <w:rPr>
                <w:rFonts w:ascii="Noto Sans CJK JP" w:hAnsi="Noto Sans CJK JP" w:eastAsia="Noto Sans CJK JP"/>
                <w:sz w:val="17"/>
              </w:rPr>
              <w:t>業務フロー実査台帳（XLSX）</w:t>
            </w:r>
          </w:p>
        </w:tc>
        <w:tc>
          <w:tcPr>
            <w:tcW w:type="dxa" w:w="6803"/>
            <w:vAlign w:val="top"/>
            <w:tcMar>
              <w:top w:w="60" w:type="dxa"/>
              <w:start w:w="70" w:type="dxa"/>
              <w:bottom w:w="60" w:type="dxa"/>
              <w:end w:w="70" w:type="dxa"/>
            </w:tcMar>
            <w:shd w:fill="F7F9FB"/>
          </w:tcPr>
          <w:p>
            <w:pPr>
              <w:spacing w:after="0"/>
            </w:pPr>
            <w:r>
              <w:rPr>
                <w:rFonts w:ascii="Noto Sans CJK JP" w:hAnsi="Noto Sans CJK JP" w:eastAsia="Noto Sans CJK JP"/>
                <w:sz w:val="17"/>
              </w:rPr>
              <w:t>245問の回答、23工程、22データ源、35文書種別、72イベント、状態遷移、SF対応、証跡、Decision Logを共同更新</w:t>
            </w:r>
          </w:p>
        </w:tc>
      </w:tr>
      <w:tr>
        <w:trPr>
          <w:cantSplit/>
        </w:trPr>
        <w:tc>
          <w:tcPr>
            <w:tcW w:type="dxa" w:w="3855"/>
            <w:vAlign w:val="top"/>
            <w:tcMar>
              <w:top w:w="60" w:type="dxa"/>
              <w:start w:w="70" w:type="dxa"/>
              <w:bottom w:w="60" w:type="dxa"/>
              <w:end w:w="70" w:type="dxa"/>
            </w:tcMar>
          </w:tcPr>
          <w:p>
            <w:pPr>
              <w:spacing w:after="0"/>
            </w:pPr>
            <w:r>
              <w:rPr>
                <w:rFonts w:ascii="Noto Sans CJK JP" w:hAnsi="Noto Sans CJK JP" w:eastAsia="Noto Sans CJK JP"/>
                <w:sz w:val="17"/>
              </w:rPr>
              <w:t>alo_workflow_event_schema_v0.1.json</w:t>
            </w:r>
          </w:p>
        </w:tc>
        <w:tc>
          <w:tcPr>
            <w:tcW w:type="dxa" w:w="6803"/>
            <w:vAlign w:val="top"/>
            <w:tcMar>
              <w:top w:w="60" w:type="dxa"/>
              <w:start w:w="70" w:type="dxa"/>
              <w:bottom w:w="60" w:type="dxa"/>
              <w:end w:w="70" w:type="dxa"/>
            </w:tcMar>
          </w:tcPr>
          <w:p>
            <w:pPr>
              <w:spacing w:after="0"/>
            </w:pPr>
            <w:r>
              <w:rPr>
                <w:rFonts w:ascii="Noto Sans CJK JP" w:hAnsi="Noto Sans CJK JP" w:eastAsia="Noto Sans CJK JP"/>
                <w:sz w:val="17"/>
              </w:rPr>
              <w:t>event ingest・ALO Connect・DerivedEvent・監査ログの共通契約の叩き台</w:t>
            </w:r>
          </w:p>
        </w:tc>
      </w:tr>
      <w:tr>
        <w:trPr>
          <w:cantSplit/>
        </w:trPr>
        <w:tc>
          <w:tcPr>
            <w:tcW w:type="dxa" w:w="3855"/>
            <w:vAlign w:val="top"/>
            <w:tcMar>
              <w:top w:w="60" w:type="dxa"/>
              <w:start w:w="70" w:type="dxa"/>
              <w:bottom w:w="60" w:type="dxa"/>
              <w:end w:w="70" w:type="dxa"/>
            </w:tcMar>
            <w:shd w:fill="F7F9FB"/>
          </w:tcPr>
          <w:p>
            <w:pPr>
              <w:spacing w:after="0"/>
            </w:pPr>
            <w:r>
              <w:rPr>
                <w:rFonts w:ascii="Noto Sans CJK JP" w:hAnsi="Noto Sans CJK JP" w:eastAsia="Noto Sans CJK JP"/>
                <w:sz w:val="17"/>
              </w:rPr>
              <w:t>alo_workflow_event_example_anonymized_v0.1.json</w:t>
            </w:r>
          </w:p>
        </w:tc>
        <w:tc>
          <w:tcPr>
            <w:tcW w:type="dxa" w:w="6803"/>
            <w:vAlign w:val="top"/>
            <w:tcMar>
              <w:top w:w="60" w:type="dxa"/>
              <w:start w:w="70" w:type="dxa"/>
              <w:bottom w:w="60" w:type="dxa"/>
              <w:end w:w="70" w:type="dxa"/>
            </w:tcMar>
            <w:shd w:fill="F7F9FB"/>
          </w:tcPr>
          <w:p>
            <w:pPr>
              <w:spacing w:after="0"/>
            </w:pPr>
            <w:r>
              <w:rPr>
                <w:rFonts w:ascii="Noto Sans CJK JP" w:hAnsi="Noto Sans CJK JP" w:eastAsia="Noto Sans CJK JP"/>
                <w:sz w:val="17"/>
              </w:rPr>
              <w:t>提案送付イベントの匿名サンプル。source、文書版、next action、finance、review、provenanceを例示</w:t>
            </w:r>
          </w:p>
        </w:tc>
      </w:tr>
    </w:tbl>
    <w:p/>
    <w:p>
      <w:pPr>
        <w:pStyle w:val="Heading1"/>
        <w:pBdr>
          <w:bottom w:val="single" w:sz="8" w:space="4" w:color="2F6F93"/>
        </w:pBdr>
      </w:pPr>
      <w:r>
        <w:t>付録A. 初期実査に用いた資料群</w:t>
      </w:r>
    </w:p>
    <w:p>
      <w:pPr>
        <w:pStyle w:val="ListBullet"/>
        <w:spacing w:after="40"/>
      </w:pPr>
      <w:r>
        <w:t>IT環境カルテ 浅井法律事務所（2026年3月）</w:t>
      </w:r>
    </w:p>
    <w:p>
      <w:pPr>
        <w:pStyle w:val="ListBullet"/>
        <w:spacing w:after="40"/>
      </w:pPr>
      <w:r>
        <w:t>浅井法律事務所 DX化プロジェクト 引き継ぎデータ（2026年3月）</w:t>
      </w:r>
    </w:p>
    <w:p>
      <w:pPr>
        <w:pStyle w:val="ListBullet"/>
        <w:spacing w:after="40"/>
      </w:pPr>
      <w:r>
        <w:t>ALO Knowledge Database 統合仕様書 v3.0</w:t>
      </w:r>
    </w:p>
    <w:p>
      <w:pPr>
        <w:pStyle w:val="ListBullet"/>
        <w:spacing w:after="40"/>
      </w:pPr>
      <w:r>
        <w:t>ALO データ編成指針 v1.0</w:t>
      </w:r>
    </w:p>
    <w:p>
      <w:pPr>
        <w:pStyle w:val="ListBullet"/>
        <w:spacing w:after="40"/>
      </w:pPr>
      <w:r>
        <w:t>浅井法律事務所 インフラ全体スナップショット（2026-03-26）</w:t>
      </w:r>
    </w:p>
    <w:p>
      <w:pPr>
        <w:pStyle w:val="ListBullet"/>
        <w:spacing w:after="40"/>
      </w:pPr>
      <w:r>
        <w:t>ALO-BRAIN v1（2026-03-26）</w:t>
      </w:r>
    </w:p>
    <w:p>
      <w:pPr>
        <w:pStyle w:val="ListBullet"/>
        <w:spacing w:after="40"/>
      </w:pPr>
      <w:r>
        <w:t>Box：電話取り方マニュアル、BOX設定マニュアル、法テラス相談票、Salesforce相談フィールドinventory、終了報告書サンプル</w:t>
      </w:r>
    </w:p>
    <w:p>
      <w:pPr>
        <w:pStyle w:val="ListBullet"/>
        <w:spacing w:after="40"/>
      </w:pPr>
      <w:r>
        <w:t>Gmail：相談→受任前調整、第三者支払請求の代表スレッド（本書では匿名化パターンのみ使用）</w:t>
      </w:r>
    </w:p>
    <w:p>
      <w:r>
        <w:t>注：初期実査は設計仮説を作るためのサンプルであり、事務所全体の頻度・例外率を断定するものではない。本台帳へ回答・層化サンプルを追加して確定する。</w:t>
      </w:r>
    </w:p>
    <w:sectPr w:rsidR="00FC693F" w:rsidRPr="0006063C" w:rsidSect="00034616">
      <w:headerReference w:type="default" r:id="rId9"/>
      <w:footerReference w:type="default" r:id="rId10"/>
      <w:pgSz w:w="12240" w:h="15840"/>
      <w:pgMar w:top="1020" w:right="1077"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DISCOVERY DRAFT v0.1  |  個別案件内容は匿名化</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4748B"/>
        <w:sz w:val="16"/>
      </w:rPr>
      <w:t>浅井法律事務所  |  業務フロー機械可読化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JP" w:hAnsi="Noto Sans CJK JP" w:eastAsia="Noto Sans CJK JP"/>
      <w:b/>
      <w:bCs/>
      <w:color w:val="2F6F9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173F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F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2F6F9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浅井法律事務所 業務フロー機械可読化 設計・ヒアリングパック v0.1</dc:title>
  <dc:subject>相談流入から終結までの業務フロー機械可読化</dc:subject>
  <dc:creator>浅井法律事務所 DX設計支援</dc:creator>
  <cp:keywords>業務フロー, Salesforce, Box, Gmail, 機械可読, ヒアリング, イベントソーシング</cp:keywords>
  <dc:description>generated by python-docx</dc:description>
  <cp:lastModifiedBy/>
  <cp:revision>1</cp:revision>
  <dcterms:created xsi:type="dcterms:W3CDTF">2013-12-23T23:15:00Z</dcterms:created>
  <dcterms:modified xsi:type="dcterms:W3CDTF">2013-12-23T23:15:00Z</dcterms:modified>
  <cp:category/>
</cp:coreProperties>
</file>