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spacing w:line="480" w:lineRule="auto"/>
        <w:jc w:val="right"/>
        <w:rPr>
          <w:rFonts w:ascii="Times New Roman" w:cs="Times New Roman" w:hAnsi="Times New Roman" w:eastAsia="Times New Roman"/>
          <w:i w:val="0"/>
          <w:iCs w:val="0"/>
          <w:sz w:val="24"/>
          <w:szCs w:val="24"/>
        </w:rPr>
      </w:pPr>
      <w:r>
        <w:rPr>
          <w:rFonts w:ascii="Times New Roman" w:hAnsi="Times New Roman"/>
          <w:i w:val="0"/>
          <w:iCs w:val="0"/>
          <w:sz w:val="24"/>
          <w:szCs w:val="24"/>
          <w:rtl w:val="0"/>
          <w:lang w:val="en-US"/>
        </w:rPr>
        <w:t xml:space="preserve">Distribution of the ribbed mussel, </w:t>
      </w:r>
      <w:r>
        <w:rPr>
          <w:rFonts w:ascii="Times New Roman" w:hAnsi="Times New Roman"/>
          <w:i w:val="1"/>
          <w:iCs w:val="1"/>
          <w:sz w:val="24"/>
          <w:szCs w:val="24"/>
          <w:rtl w:val="0"/>
          <w:lang w:val="en-US"/>
        </w:rPr>
        <w:t>Geukensia demissa</w:t>
      </w:r>
      <w:r>
        <w:rPr>
          <w:rFonts w:ascii="Times New Roman" w:hAnsi="Times New Roman"/>
          <w:i w:val="0"/>
          <w:iCs w:val="0"/>
          <w:sz w:val="24"/>
          <w:szCs w:val="24"/>
          <w:rtl w:val="0"/>
          <w:lang w:val="en-US"/>
        </w:rPr>
        <w:t>, in the Ashley River, South Carolina</w:t>
      </w:r>
    </w:p>
    <w:p>
      <w:pPr>
        <w:pStyle w:val="Body"/>
        <w:spacing w:line="480" w:lineRule="auto"/>
        <w:jc w:val="right"/>
        <w:rPr>
          <w:rFonts w:ascii="Times New Roman" w:cs="Times New Roman" w:hAnsi="Times New Roman" w:eastAsia="Times New Roman"/>
          <w:i w:val="0"/>
          <w:iCs w:val="0"/>
          <w:sz w:val="24"/>
          <w:szCs w:val="24"/>
        </w:rPr>
      </w:pPr>
      <w:r>
        <w:rPr>
          <w:rFonts w:ascii="Times New Roman" w:hAnsi="Times New Roman"/>
          <w:i w:val="0"/>
          <w:iCs w:val="0"/>
          <w:sz w:val="24"/>
          <w:szCs w:val="24"/>
          <w:rtl w:val="0"/>
          <w:lang w:val="en-US"/>
        </w:rPr>
        <w:t>Asa Julien</w:t>
      </w:r>
    </w:p>
    <w:p>
      <w:pPr>
        <w:pStyle w:val="Body"/>
        <w:spacing w:line="480" w:lineRule="auto"/>
        <w:rPr>
          <w:rFonts w:ascii="Times New Roman" w:cs="Times New Roman" w:hAnsi="Times New Roman" w:eastAsia="Times New Roman"/>
          <w:i w:val="0"/>
          <w:iCs w:val="0"/>
          <w:sz w:val="24"/>
          <w:szCs w:val="24"/>
          <w:u w:val="single"/>
        </w:rPr>
      </w:pPr>
      <w:r>
        <w:rPr>
          <w:rFonts w:ascii="Times New Roman" w:hAnsi="Times New Roman"/>
          <w:i w:val="0"/>
          <w:iCs w:val="0"/>
          <w:sz w:val="24"/>
          <w:szCs w:val="24"/>
          <w:u w:val="single"/>
          <w:rtl w:val="0"/>
          <w:lang w:val="en-US"/>
        </w:rPr>
        <w:t>Introduction</w:t>
      </w:r>
    </w:p>
    <w:p>
      <w:pPr>
        <w:pStyle w:val="Body"/>
        <w:spacing w:line="480" w:lineRule="auto"/>
        <w:rPr>
          <w:rFonts w:ascii="Times New Roman" w:cs="Times New Roman" w:hAnsi="Times New Roman" w:eastAsia="Times New Roman"/>
          <w:i w:val="0"/>
          <w:iCs w:val="0"/>
          <w:sz w:val="24"/>
          <w:szCs w:val="24"/>
        </w:rPr>
      </w:pPr>
      <w:r>
        <w:rPr>
          <w:rFonts w:ascii="Times New Roman" w:cs="Times New Roman" w:hAnsi="Times New Roman" w:eastAsia="Times New Roman"/>
          <w:i w:val="0"/>
          <w:iCs w:val="0"/>
          <w:sz w:val="24"/>
          <w:szCs w:val="24"/>
        </w:rPr>
        <w:tab/>
      </w:r>
      <w:r>
        <w:rPr>
          <w:rFonts w:ascii="Times New Roman" w:hAnsi="Times New Roman"/>
          <w:i w:val="1"/>
          <w:iCs w:val="1"/>
          <w:sz w:val="24"/>
          <w:szCs w:val="24"/>
          <w:rtl w:val="0"/>
          <w:lang w:val="en-US"/>
        </w:rPr>
        <w:t xml:space="preserve">Geukensia demissa </w:t>
      </w:r>
      <w:r>
        <w:rPr>
          <w:rFonts w:ascii="Times New Roman" w:hAnsi="Times New Roman"/>
          <w:i w:val="0"/>
          <w:iCs w:val="0"/>
          <w:sz w:val="24"/>
          <w:szCs w:val="24"/>
          <w:rtl w:val="0"/>
          <w:lang w:val="en-US"/>
        </w:rPr>
        <w:t xml:space="preserve">is a mytilid bivalve species that inhabits the salt marsh intertidal along the eastern coast of North America (Kuenzler 1961). An important ecosystem engineer in the salt marsh (Bertness 1984; Altieri </w:t>
      </w:r>
      <w:r>
        <w:rPr>
          <w:rFonts w:ascii="Times New Roman" w:hAnsi="Times New Roman"/>
          <w:i w:val="1"/>
          <w:iCs w:val="1"/>
          <w:sz w:val="24"/>
          <w:szCs w:val="24"/>
          <w:rtl w:val="0"/>
          <w:lang w:val="en-US"/>
        </w:rPr>
        <w:t xml:space="preserve">et al. </w:t>
      </w:r>
      <w:r>
        <w:rPr>
          <w:rFonts w:ascii="Times New Roman" w:hAnsi="Times New Roman"/>
          <w:i w:val="0"/>
          <w:iCs w:val="0"/>
          <w:sz w:val="24"/>
          <w:szCs w:val="24"/>
          <w:rtl w:val="0"/>
          <w:lang w:val="en-US"/>
        </w:rPr>
        <w:t xml:space="preserve">2007; Angelini </w:t>
      </w:r>
      <w:r>
        <w:rPr>
          <w:rFonts w:ascii="Times New Roman" w:hAnsi="Times New Roman"/>
          <w:i w:val="1"/>
          <w:iCs w:val="1"/>
          <w:sz w:val="24"/>
          <w:szCs w:val="24"/>
          <w:rtl w:val="0"/>
          <w:lang w:val="en-US"/>
        </w:rPr>
        <w:t xml:space="preserve">et al. </w:t>
      </w:r>
      <w:r>
        <w:rPr>
          <w:rFonts w:ascii="Times New Roman" w:hAnsi="Times New Roman"/>
          <w:i w:val="0"/>
          <w:iCs w:val="0"/>
          <w:sz w:val="24"/>
          <w:szCs w:val="24"/>
          <w:rtl w:val="0"/>
          <w:lang w:val="en-US"/>
        </w:rPr>
        <w:t xml:space="preserve">2015), </w:t>
      </w:r>
      <w:r>
        <w:rPr>
          <w:rFonts w:ascii="Times New Roman" w:hAnsi="Times New Roman"/>
          <w:i w:val="1"/>
          <w:iCs w:val="1"/>
          <w:sz w:val="24"/>
          <w:szCs w:val="24"/>
          <w:rtl w:val="0"/>
          <w:lang w:val="en-US"/>
        </w:rPr>
        <w:t xml:space="preserve">G. demissa </w:t>
      </w:r>
      <w:r>
        <w:rPr>
          <w:rFonts w:ascii="Times New Roman" w:hAnsi="Times New Roman"/>
          <w:i w:val="0"/>
          <w:iCs w:val="0"/>
          <w:sz w:val="24"/>
          <w:szCs w:val="24"/>
          <w:rtl w:val="0"/>
          <w:lang w:val="en-US"/>
        </w:rPr>
        <w:t xml:space="preserve">appears to exhibit different two distinct patterns of distribution depending on where it is found. In more northern sites, such as New England, </w:t>
      </w:r>
      <w:r>
        <w:rPr>
          <w:rFonts w:ascii="Times New Roman" w:hAnsi="Times New Roman"/>
          <w:i w:val="1"/>
          <w:iCs w:val="1"/>
          <w:sz w:val="24"/>
          <w:szCs w:val="24"/>
          <w:rtl w:val="0"/>
          <w:lang w:val="en-US"/>
        </w:rPr>
        <w:t xml:space="preserve">G. demissa </w:t>
      </w:r>
      <w:r>
        <w:rPr>
          <w:rFonts w:ascii="Times New Roman" w:hAnsi="Times New Roman"/>
          <w:i w:val="0"/>
          <w:iCs w:val="0"/>
          <w:sz w:val="24"/>
          <w:szCs w:val="24"/>
          <w:rtl w:val="0"/>
          <w:lang w:val="en-US"/>
        </w:rPr>
        <w:t xml:space="preserve">is most abundant at the edge of the marsh, forming a dense, continuous band (Bertness 1984; Bertness and Grosholz 1985). In the high marsh platform in these areas, which is characterized by short-form </w:t>
      </w:r>
      <w:r>
        <w:rPr>
          <w:rFonts w:ascii="Times New Roman" w:hAnsi="Times New Roman"/>
          <w:i w:val="1"/>
          <w:iCs w:val="1"/>
          <w:sz w:val="24"/>
          <w:szCs w:val="24"/>
          <w:rtl w:val="0"/>
          <w:lang w:val="en-US"/>
        </w:rPr>
        <w:t>Spartina alterniflora</w:t>
      </w:r>
      <w:r>
        <w:rPr>
          <w:rFonts w:ascii="Times New Roman" w:hAnsi="Times New Roman"/>
          <w:i w:val="0"/>
          <w:iCs w:val="0"/>
          <w:sz w:val="24"/>
          <w:szCs w:val="24"/>
          <w:rtl w:val="0"/>
          <w:lang w:val="en-US"/>
        </w:rPr>
        <w:t xml:space="preserve">, abundance is low and </w:t>
      </w:r>
      <w:r>
        <w:rPr>
          <w:rFonts w:ascii="Times New Roman" w:hAnsi="Times New Roman"/>
          <w:i w:val="1"/>
          <w:iCs w:val="1"/>
          <w:sz w:val="24"/>
          <w:szCs w:val="24"/>
          <w:rtl w:val="0"/>
          <w:lang w:val="en-US"/>
        </w:rPr>
        <w:t xml:space="preserve">G. demissa </w:t>
      </w:r>
      <w:r>
        <w:rPr>
          <w:rFonts w:ascii="Times New Roman" w:hAnsi="Times New Roman"/>
          <w:i w:val="0"/>
          <w:iCs w:val="0"/>
          <w:sz w:val="24"/>
          <w:szCs w:val="24"/>
          <w:rtl w:val="0"/>
          <w:lang w:val="en-US"/>
        </w:rPr>
        <w:t>does not exhibit clumping patterns</w:t>
      </w:r>
      <w:r>
        <w:rPr>
          <w:rFonts w:ascii="Times New Roman" w:hAnsi="Times New Roman"/>
          <w:i w:val="1"/>
          <w:iCs w:val="1"/>
          <w:sz w:val="24"/>
          <w:szCs w:val="24"/>
          <w:rtl w:val="0"/>
          <w:lang w:val="en-US"/>
        </w:rPr>
        <w:t xml:space="preserve"> </w:t>
      </w:r>
      <w:r>
        <w:rPr>
          <w:rFonts w:ascii="Times New Roman" w:hAnsi="Times New Roman"/>
          <w:i w:val="0"/>
          <w:iCs w:val="0"/>
          <w:sz w:val="24"/>
          <w:szCs w:val="24"/>
          <w:rtl w:val="0"/>
          <w:lang w:val="en-US"/>
        </w:rPr>
        <w:t xml:space="preserve">(Bertness and Grosholz 1985). In more southern sites, however, such as the southeastern United States, </w:t>
      </w:r>
      <w:r>
        <w:rPr>
          <w:rFonts w:ascii="Times New Roman" w:hAnsi="Times New Roman"/>
          <w:i w:val="1"/>
          <w:iCs w:val="1"/>
          <w:sz w:val="24"/>
          <w:szCs w:val="24"/>
          <w:rtl w:val="0"/>
          <w:lang w:val="en-US"/>
        </w:rPr>
        <w:t xml:space="preserve">G. demissa </w:t>
      </w:r>
      <w:r>
        <w:rPr>
          <w:rFonts w:ascii="Times New Roman" w:hAnsi="Times New Roman"/>
          <w:i w:val="0"/>
          <w:iCs w:val="0"/>
          <w:sz w:val="24"/>
          <w:szCs w:val="24"/>
          <w:rtl w:val="0"/>
          <w:lang w:val="en-US"/>
        </w:rPr>
        <w:t>does not appear at the edge of the salt marsh in a continuous band, instead forming discrete, densely-settled patches in the high marsh platform and near the heads of tidal creeks (Kuenzler 1961; Stiven and Gardner 1992). The reasons for these two distinct settlement patterns are unclear, though it has been attributed to variation in predation intensity (Lin 1989; Nielsen and Franz 1995).</w:t>
      </w:r>
    </w:p>
    <w:p>
      <w:pPr>
        <w:pStyle w:val="Body"/>
        <w:spacing w:line="480" w:lineRule="auto"/>
        <w:rPr>
          <w:rFonts w:ascii="Times New Roman" w:cs="Times New Roman" w:hAnsi="Times New Roman" w:eastAsia="Times New Roman"/>
          <w:i w:val="0"/>
          <w:iCs w:val="0"/>
          <w:sz w:val="24"/>
          <w:szCs w:val="24"/>
        </w:rPr>
      </w:pPr>
      <w:r>
        <w:rPr>
          <w:rFonts w:ascii="Times New Roman" w:cs="Times New Roman" w:hAnsi="Times New Roman" w:eastAsia="Times New Roman"/>
          <w:i w:val="0"/>
          <w:iCs w:val="0"/>
          <w:sz w:val="24"/>
          <w:szCs w:val="24"/>
        </w:rPr>
        <w:tab/>
      </w:r>
      <w:r>
        <w:rPr>
          <w:rFonts w:ascii="Times New Roman" w:hAnsi="Times New Roman"/>
          <w:i w:val="0"/>
          <w:iCs w:val="0"/>
          <w:sz w:val="24"/>
          <w:szCs w:val="24"/>
          <w:rtl w:val="0"/>
          <w:lang w:val="en-US"/>
        </w:rPr>
        <w:t>Many environmental variables that influence species distribution in estuaries, such as inundation period and predation, covary with elevation.</w:t>
      </w:r>
      <w:r>
        <w:rPr>
          <w:rFonts w:ascii="Times New Roman" w:hAnsi="Times New Roman"/>
          <w:i w:val="1"/>
          <w:iCs w:val="1"/>
          <w:sz w:val="24"/>
          <w:szCs w:val="24"/>
          <w:rtl w:val="0"/>
        </w:rPr>
        <w:t xml:space="preserve"> </w:t>
      </w:r>
      <w:r>
        <w:rPr>
          <w:rFonts w:ascii="Times New Roman" w:hAnsi="Times New Roman"/>
          <w:i w:val="0"/>
          <w:iCs w:val="0"/>
          <w:sz w:val="24"/>
          <w:szCs w:val="24"/>
          <w:rtl w:val="0"/>
          <w:lang w:val="en-US"/>
        </w:rPr>
        <w:t>Even small changes in elevation can have profound effects on the prevailing physical, chemical, and biological conditions, all of which influence species</w:t>
      </w:r>
      <w:r>
        <w:rPr>
          <w:rFonts w:ascii="Times New Roman" w:hAnsi="Times New Roman" w:hint="default"/>
          <w:i w:val="0"/>
          <w:iCs w:val="0"/>
          <w:sz w:val="24"/>
          <w:szCs w:val="24"/>
          <w:rtl w:val="0"/>
          <w:lang w:val="en-US"/>
        </w:rPr>
        <w:t xml:space="preserve">’ </w:t>
      </w:r>
      <w:r>
        <w:rPr>
          <w:rFonts w:ascii="Times New Roman" w:hAnsi="Times New Roman"/>
          <w:i w:val="0"/>
          <w:iCs w:val="0"/>
          <w:sz w:val="24"/>
          <w:szCs w:val="24"/>
          <w:rtl w:val="0"/>
          <w:lang w:val="fr-FR"/>
        </w:rPr>
        <w:t>distributions.</w:t>
      </w:r>
      <w:r>
        <w:rPr>
          <w:rFonts w:ascii="Times New Roman" w:hAnsi="Times New Roman"/>
          <w:i w:val="1"/>
          <w:iCs w:val="1"/>
          <w:sz w:val="24"/>
          <w:szCs w:val="24"/>
          <w:rtl w:val="0"/>
        </w:rPr>
        <w:t xml:space="preserve"> </w:t>
      </w:r>
      <w:r>
        <w:rPr>
          <w:rFonts w:ascii="Times New Roman" w:hAnsi="Times New Roman"/>
          <w:i w:val="0"/>
          <w:iCs w:val="0"/>
          <w:sz w:val="24"/>
          <w:szCs w:val="24"/>
          <w:rtl w:val="0"/>
          <w:lang w:val="en-US"/>
        </w:rPr>
        <w:t>E</w:t>
      </w:r>
      <w:r>
        <w:rPr>
          <w:rFonts w:ascii="Times New Roman" w:hAnsi="Times New Roman"/>
          <w:i w:val="0"/>
          <w:iCs w:val="0"/>
          <w:sz w:val="24"/>
          <w:szCs w:val="24"/>
          <w:rtl w:val="0"/>
          <w:lang w:val="en-US"/>
        </w:rPr>
        <w:t>stablishing the exact elevational range of</w:t>
      </w:r>
      <w:r>
        <w:rPr>
          <w:rFonts w:ascii="Times New Roman" w:hAnsi="Times New Roman"/>
          <w:i w:val="1"/>
          <w:iCs w:val="1"/>
          <w:sz w:val="24"/>
          <w:szCs w:val="24"/>
          <w:rtl w:val="0"/>
          <w:lang w:val="pt-PT"/>
        </w:rPr>
        <w:t xml:space="preserve"> G. demissa</w:t>
      </w:r>
      <w:r>
        <w:rPr>
          <w:rFonts w:ascii="Times New Roman" w:hAnsi="Times New Roman"/>
          <w:i w:val="0"/>
          <w:iCs w:val="0"/>
          <w:sz w:val="24"/>
          <w:szCs w:val="24"/>
          <w:rtl w:val="0"/>
          <w:lang w:val="en-US"/>
        </w:rPr>
        <w:t xml:space="preserve"> </w:t>
      </w:r>
      <w:r>
        <w:rPr>
          <w:rFonts w:ascii="Times New Roman" w:hAnsi="Times New Roman"/>
          <w:i w:val="0"/>
          <w:iCs w:val="0"/>
          <w:sz w:val="24"/>
          <w:szCs w:val="24"/>
          <w:rtl w:val="0"/>
          <w:lang w:val="en-US"/>
        </w:rPr>
        <w:t>could allow comparisons to be made among sites in different regions,</w:t>
      </w:r>
      <w:r>
        <w:rPr>
          <w:rFonts w:ascii="Times New Roman" w:hAnsi="Times New Roman"/>
          <w:i w:val="0"/>
          <w:iCs w:val="0"/>
          <w:sz w:val="24"/>
          <w:szCs w:val="24"/>
          <w:rtl w:val="0"/>
          <w:lang w:val="en-US"/>
        </w:rPr>
        <w:t xml:space="preserve"> and possibly</w:t>
      </w:r>
      <w:r>
        <w:rPr>
          <w:rFonts w:ascii="Times New Roman" w:hAnsi="Times New Roman"/>
          <w:i w:val="0"/>
          <w:iCs w:val="0"/>
          <w:sz w:val="24"/>
          <w:szCs w:val="24"/>
          <w:rtl w:val="0"/>
          <w:lang w:val="en-US"/>
        </w:rPr>
        <w:t xml:space="preserve"> lead to additional analyses, such as remote sensing and other aerial imagery-based techniques. Furthermore,</w:t>
      </w:r>
      <w:r>
        <w:rPr>
          <w:rFonts w:ascii="Times New Roman" w:hAnsi="Times New Roman"/>
          <w:i w:val="0"/>
          <w:iCs w:val="0"/>
          <w:sz w:val="24"/>
          <w:szCs w:val="24"/>
          <w:rtl w:val="0"/>
          <w:lang w:val="en-US"/>
        </w:rPr>
        <w:t xml:space="preserve"> there is a management need to better characterize </w:t>
      </w:r>
      <w:r>
        <w:rPr>
          <w:rFonts w:ascii="Times New Roman" w:hAnsi="Times New Roman"/>
          <w:i w:val="1"/>
          <w:iCs w:val="1"/>
          <w:sz w:val="24"/>
          <w:szCs w:val="24"/>
          <w:rtl w:val="0"/>
          <w:lang w:val="en-US"/>
        </w:rPr>
        <w:t xml:space="preserve">G. demissa </w:t>
      </w:r>
      <w:r>
        <w:rPr>
          <w:rFonts w:ascii="Times New Roman" w:hAnsi="Times New Roman"/>
          <w:i w:val="0"/>
          <w:iCs w:val="0"/>
          <w:sz w:val="24"/>
          <w:szCs w:val="24"/>
          <w:rtl w:val="0"/>
          <w:lang w:val="en-US"/>
        </w:rPr>
        <w:t>habitat in South Carolina, as a fishery for the bivalve has emerged over the past ten years.</w:t>
      </w:r>
    </w:p>
    <w:p>
      <w:pPr>
        <w:pStyle w:val="Body"/>
        <w:spacing w:line="480" w:lineRule="auto"/>
        <w:rPr>
          <w:rFonts w:ascii="Times New Roman" w:cs="Times New Roman" w:hAnsi="Times New Roman" w:eastAsia="Times New Roman"/>
          <w:i w:val="0"/>
          <w:iCs w:val="0"/>
          <w:sz w:val="24"/>
          <w:szCs w:val="24"/>
        </w:rPr>
      </w:pPr>
    </w:p>
    <w:p>
      <w:pPr>
        <w:pStyle w:val="Body"/>
        <w:spacing w:line="480" w:lineRule="auto"/>
        <w:rPr>
          <w:rFonts w:ascii="Times New Roman" w:cs="Times New Roman" w:hAnsi="Times New Roman" w:eastAsia="Times New Roman"/>
          <w:i w:val="1"/>
          <w:iCs w:val="1"/>
          <w:sz w:val="24"/>
          <w:szCs w:val="24"/>
          <w:u w:val="single"/>
        </w:rPr>
      </w:pPr>
      <w:r>
        <w:rPr>
          <w:rFonts w:ascii="Times New Roman" w:hAnsi="Times New Roman"/>
          <w:i w:val="0"/>
          <w:iCs w:val="0"/>
          <w:sz w:val="24"/>
          <w:szCs w:val="24"/>
          <w:u w:val="single"/>
          <w:rtl w:val="0"/>
          <w:lang w:val="en-US"/>
        </w:rPr>
        <w:t>Objectives</w:t>
      </w:r>
    </w:p>
    <w:p>
      <w:pPr>
        <w:pStyle w:val="Body"/>
        <w:bidi w:val="0"/>
        <w:spacing w:line="480" w:lineRule="auto"/>
        <w:ind w:left="0" w:right="0" w:firstLine="720"/>
        <w:jc w:val="left"/>
        <w:rPr>
          <w:rFonts w:ascii="Times New Roman" w:cs="Times New Roman" w:hAnsi="Times New Roman" w:eastAsia="Times New Roman"/>
          <w:sz w:val="24"/>
          <w:szCs w:val="24"/>
          <w:u w:color="000000"/>
          <w:rtl w:val="0"/>
        </w:rPr>
      </w:pPr>
      <w:r>
        <w:rPr>
          <w:rFonts w:ascii="Times New Roman" w:hAnsi="Times New Roman"/>
          <w:sz w:val="24"/>
          <w:szCs w:val="24"/>
          <w:u w:color="000000"/>
          <w:rtl w:val="0"/>
        </w:rPr>
        <w:t>T</w:t>
      </w:r>
      <w:r>
        <w:rPr>
          <w:rFonts w:ascii="Times New Roman" w:hAnsi="Times New Roman"/>
          <w:sz w:val="24"/>
          <w:szCs w:val="24"/>
          <w:u w:color="000000"/>
          <w:rtl w:val="0"/>
          <w:lang w:val="en-US"/>
        </w:rPr>
        <w:t>he purpose of this study was t</w:t>
      </w:r>
      <w:r>
        <w:rPr>
          <w:rFonts w:ascii="Times New Roman" w:hAnsi="Times New Roman"/>
          <w:sz w:val="24"/>
          <w:szCs w:val="24"/>
          <w:u w:color="000000"/>
          <w:rtl w:val="0"/>
        </w:rPr>
        <w:t>o</w:t>
      </w:r>
      <w:r>
        <w:rPr>
          <w:rFonts w:ascii="Times New Roman" w:hAnsi="Times New Roman"/>
          <w:sz w:val="24"/>
          <w:szCs w:val="24"/>
          <w:u w:color="000000"/>
          <w:rtl w:val="0"/>
          <w:lang w:val="en-US"/>
        </w:rPr>
        <w:t xml:space="preserve"> </w:t>
      </w:r>
      <w:r>
        <w:rPr>
          <w:rFonts w:ascii="Times New Roman" w:hAnsi="Times New Roman"/>
          <w:sz w:val="24"/>
          <w:szCs w:val="24"/>
          <w:u w:color="000000"/>
          <w:rtl w:val="0"/>
          <w:lang w:val="en-US"/>
        </w:rPr>
        <w:t xml:space="preserve">characterize </w:t>
      </w:r>
      <w:r>
        <w:rPr>
          <w:rFonts w:ascii="Times New Roman" w:hAnsi="Times New Roman"/>
          <w:i w:val="1"/>
          <w:iCs w:val="1"/>
          <w:sz w:val="24"/>
          <w:szCs w:val="24"/>
          <w:u w:color="000000"/>
          <w:rtl w:val="0"/>
          <w:lang w:val="pt-PT"/>
        </w:rPr>
        <w:t>G. demissa</w:t>
      </w:r>
      <w:r>
        <w:rPr>
          <w:rFonts w:ascii="Times New Roman" w:hAnsi="Times New Roman"/>
          <w:i w:val="1"/>
          <w:iCs w:val="1"/>
          <w:sz w:val="24"/>
          <w:szCs w:val="24"/>
          <w:u w:color="000000"/>
          <w:rtl w:val="0"/>
          <w:lang w:val="en-US"/>
        </w:rPr>
        <w:t xml:space="preserve"> </w:t>
      </w:r>
      <w:r>
        <w:rPr>
          <w:rFonts w:ascii="Times New Roman" w:hAnsi="Times New Roman"/>
          <w:sz w:val="24"/>
          <w:szCs w:val="24"/>
          <w:u w:color="000000"/>
          <w:rtl w:val="0"/>
          <w:lang w:val="en-US"/>
        </w:rPr>
        <w:t xml:space="preserve">habitat in order to better understand the variables influencing its distribution. Elevation and salinity were chosen as the primary environmental variables with which to characterize habitat. In this study, it was hypothesized that </w:t>
      </w:r>
      <w:r>
        <w:rPr>
          <w:rFonts w:ascii="Times New Roman" w:hAnsi="Times New Roman"/>
          <w:i w:val="1"/>
          <w:iCs w:val="1"/>
          <w:sz w:val="24"/>
          <w:szCs w:val="24"/>
          <w:u w:color="000000"/>
          <w:rtl w:val="0"/>
          <w:lang w:val="en-US"/>
        </w:rPr>
        <w:t xml:space="preserve">G. demissa </w:t>
      </w:r>
      <w:r>
        <w:rPr>
          <w:rFonts w:ascii="Times New Roman" w:hAnsi="Times New Roman"/>
          <w:sz w:val="24"/>
          <w:szCs w:val="24"/>
          <w:u w:color="000000"/>
          <w:rtl w:val="0"/>
          <w:lang w:val="en-US"/>
        </w:rPr>
        <w:t xml:space="preserve">would have a distinct elevational range regardless of salinity, and that this range would be confined primarily to the higher elevations in the marsh platform. </w:t>
      </w:r>
    </w:p>
    <w:p>
      <w:pPr>
        <w:pStyle w:val="Body"/>
        <w:bidi w:val="0"/>
        <w:spacing w:line="480" w:lineRule="auto"/>
        <w:ind w:left="0" w:right="0" w:firstLine="720"/>
        <w:jc w:val="left"/>
        <w:rPr>
          <w:rFonts w:ascii="Times New Roman" w:cs="Times New Roman" w:hAnsi="Times New Roman" w:eastAsia="Times New Roman"/>
          <w:sz w:val="24"/>
          <w:szCs w:val="24"/>
          <w:u w:color="000000"/>
          <w:rtl w:val="0"/>
        </w:rPr>
      </w:pPr>
    </w:p>
    <w:p>
      <w:pPr>
        <w:pStyle w:val="Body"/>
        <w:bidi w:val="0"/>
        <w:spacing w:line="480" w:lineRule="auto"/>
        <w:ind w:left="0" w:right="0" w:firstLine="0"/>
        <w:jc w:val="left"/>
        <w:rPr>
          <w:rFonts w:ascii="Times New Roman" w:cs="Times New Roman" w:hAnsi="Times New Roman" w:eastAsia="Times New Roman"/>
          <w:sz w:val="24"/>
          <w:szCs w:val="24"/>
          <w:u w:val="single" w:color="000000"/>
          <w:rtl w:val="0"/>
        </w:rPr>
      </w:pPr>
      <w:r>
        <w:rPr>
          <w:rFonts w:ascii="Times New Roman" w:hAnsi="Times New Roman"/>
          <w:sz w:val="24"/>
          <w:szCs w:val="24"/>
          <w:u w:val="single" w:color="000000"/>
          <w:rtl w:val="0"/>
          <w:lang w:val="en-US"/>
        </w:rPr>
        <w:t>Methods</w:t>
      </w:r>
    </w:p>
    <w:p>
      <w:pPr>
        <w:pStyle w:val="Body"/>
        <w:bidi w:val="0"/>
        <w:spacing w:line="480" w:lineRule="auto"/>
        <w:ind w:left="0" w:right="0" w:firstLine="0"/>
        <w:jc w:val="left"/>
        <w:rPr>
          <w:rFonts w:ascii="Times New Roman" w:cs="Times New Roman" w:hAnsi="Times New Roman" w:eastAsia="Times New Roman"/>
          <w:i w:val="1"/>
          <w:iCs w:val="1"/>
          <w:sz w:val="24"/>
          <w:szCs w:val="24"/>
          <w:u w:color="000000"/>
          <w:rtl w:val="0"/>
        </w:rPr>
      </w:pPr>
      <w:r>
        <w:rPr>
          <w:rFonts w:ascii="Times New Roman" w:hAnsi="Times New Roman"/>
          <w:i w:val="1"/>
          <w:iCs w:val="1"/>
          <w:sz w:val="24"/>
          <w:szCs w:val="24"/>
          <w:u w:color="000000"/>
          <w:rtl w:val="0"/>
          <w:lang w:val="en-US"/>
        </w:rPr>
        <w:t>Site selection</w:t>
      </w:r>
    </w:p>
    <w:p>
      <w:pPr>
        <w:pStyle w:val="Body"/>
        <w:bidi w:val="0"/>
        <w:spacing w:line="480" w:lineRule="auto"/>
        <w:ind w:left="0" w:right="0" w:firstLine="720"/>
        <w:jc w:val="left"/>
        <w:rPr>
          <w:rFonts w:ascii="Times New Roman" w:cs="Times New Roman" w:hAnsi="Times New Roman" w:eastAsia="Times New Roman"/>
          <w:sz w:val="24"/>
          <w:szCs w:val="24"/>
          <w:u w:color="000000"/>
          <w:rtl w:val="0"/>
        </w:rPr>
      </w:pPr>
      <w:r>
        <w:rPr>
          <w:rFonts w:ascii="Times New Roman" w:hAnsi="Times New Roman"/>
          <w:sz w:val="24"/>
          <w:szCs w:val="24"/>
          <w:u w:color="000000"/>
          <w:rtl w:val="0"/>
          <w:lang w:val="en-US"/>
        </w:rPr>
        <w:t xml:space="preserve">The Ashley River was used to model the relationship between </w:t>
      </w:r>
      <w:r>
        <w:rPr>
          <w:rFonts w:ascii="Times New Roman" w:hAnsi="Times New Roman"/>
          <w:i w:val="1"/>
          <w:iCs w:val="1"/>
          <w:sz w:val="24"/>
          <w:szCs w:val="24"/>
          <w:u w:color="000000"/>
          <w:rtl w:val="0"/>
          <w:lang w:val="en-US"/>
        </w:rPr>
        <w:t>G. demissa</w:t>
      </w:r>
      <w:r>
        <w:rPr>
          <w:rFonts w:ascii="Times New Roman" w:hAnsi="Times New Roman"/>
          <w:sz w:val="24"/>
          <w:szCs w:val="24"/>
          <w:u w:color="000000"/>
          <w:rtl w:val="0"/>
          <w:lang w:val="en-US"/>
        </w:rPr>
        <w:t xml:space="preserve"> presence-absence, elevation, and salinity. A salinity dataset established in the summer of 2015 along the Ashley River (McClellan, personal communication) was used to set up blocks of surface seawater salinity. Natural break points, such as bends in the river or physical objects such as bridges, were chosen as start and end points in order to distinguish each block along the gradient. Within each block, areas of marsh were scouted for the occurrence of </w:t>
      </w:r>
      <w:r>
        <w:rPr>
          <w:rFonts w:ascii="Times New Roman" w:hAnsi="Times New Roman"/>
          <w:i w:val="1"/>
          <w:iCs w:val="1"/>
          <w:sz w:val="24"/>
          <w:szCs w:val="24"/>
          <w:u w:color="000000"/>
          <w:rtl w:val="0"/>
          <w:lang w:val="en-US"/>
        </w:rPr>
        <w:t xml:space="preserve">G. demissa </w:t>
      </w:r>
      <w:r>
        <w:rPr>
          <w:rFonts w:ascii="Times New Roman" w:hAnsi="Times New Roman"/>
          <w:sz w:val="24"/>
          <w:szCs w:val="24"/>
          <w:u w:color="000000"/>
          <w:rtl w:val="0"/>
          <w:lang w:val="en-US"/>
        </w:rPr>
        <w:t xml:space="preserve">populations, and those containing </w:t>
      </w:r>
      <w:r>
        <w:rPr>
          <w:rFonts w:ascii="Times New Roman" w:hAnsi="Times New Roman"/>
          <w:i w:val="1"/>
          <w:iCs w:val="1"/>
          <w:sz w:val="24"/>
          <w:szCs w:val="24"/>
          <w:u w:color="000000"/>
          <w:rtl w:val="0"/>
          <w:lang w:val="en-US"/>
        </w:rPr>
        <w:t xml:space="preserve">G. demissa </w:t>
      </w:r>
      <w:r>
        <w:rPr>
          <w:rFonts w:ascii="Times New Roman" w:hAnsi="Times New Roman"/>
          <w:sz w:val="24"/>
          <w:szCs w:val="24"/>
          <w:u w:color="000000"/>
          <w:rtl w:val="0"/>
          <w:lang w:val="en-US"/>
        </w:rPr>
        <w:t xml:space="preserve">populations were surveyed. In the least saline block (5-10 ppt), however, no </w:t>
      </w:r>
      <w:r>
        <w:rPr>
          <w:rFonts w:ascii="Times New Roman" w:hAnsi="Times New Roman"/>
          <w:i w:val="1"/>
          <w:iCs w:val="1"/>
          <w:sz w:val="24"/>
          <w:szCs w:val="24"/>
          <w:u w:color="000000"/>
          <w:rtl w:val="0"/>
          <w:lang w:val="en-US"/>
        </w:rPr>
        <w:t>G. demissa</w:t>
      </w:r>
      <w:r>
        <w:rPr>
          <w:rFonts w:ascii="Times New Roman" w:hAnsi="Times New Roman"/>
          <w:sz w:val="24"/>
          <w:szCs w:val="24"/>
          <w:u w:color="000000"/>
          <w:rtl w:val="0"/>
          <w:lang w:val="en-US"/>
        </w:rPr>
        <w:t xml:space="preserve"> were found during the scouting expedition. An area of marsh that was similar to habitat where </w:t>
      </w:r>
      <w:r>
        <w:rPr>
          <w:rFonts w:ascii="Times New Roman" w:hAnsi="Times New Roman"/>
          <w:i w:val="1"/>
          <w:iCs w:val="1"/>
          <w:sz w:val="24"/>
          <w:szCs w:val="24"/>
          <w:u w:color="000000"/>
          <w:rtl w:val="0"/>
          <w:lang w:val="en-US"/>
        </w:rPr>
        <w:t xml:space="preserve">G. demissa </w:t>
      </w:r>
      <w:r>
        <w:rPr>
          <w:rFonts w:ascii="Times New Roman" w:hAnsi="Times New Roman"/>
          <w:sz w:val="24"/>
          <w:szCs w:val="24"/>
          <w:u w:color="000000"/>
          <w:rtl w:val="0"/>
          <w:lang w:val="en-US"/>
        </w:rPr>
        <w:t>was found at higher salinities was chosen to be surveyed (</w:t>
      </w:r>
      <w:r>
        <w:rPr>
          <w:rFonts w:ascii="Times New Roman" w:hAnsi="Times New Roman"/>
          <w:i w:val="1"/>
          <w:iCs w:val="1"/>
          <w:sz w:val="24"/>
          <w:szCs w:val="24"/>
          <w:u w:color="000000"/>
          <w:rtl w:val="0"/>
          <w:lang w:val="en-US"/>
        </w:rPr>
        <w:t xml:space="preserve">e.g. </w:t>
      </w:r>
      <w:r>
        <w:rPr>
          <w:rFonts w:ascii="Times New Roman" w:hAnsi="Times New Roman"/>
          <w:sz w:val="24"/>
          <w:szCs w:val="24"/>
          <w:u w:color="000000"/>
          <w:rtl w:val="0"/>
          <w:lang w:val="en-US"/>
        </w:rPr>
        <w:t xml:space="preserve">high marsh with </w:t>
      </w:r>
      <w:r>
        <w:rPr>
          <w:rFonts w:ascii="Times New Roman" w:hAnsi="Times New Roman"/>
          <w:i w:val="1"/>
          <w:iCs w:val="1"/>
          <w:sz w:val="24"/>
          <w:szCs w:val="24"/>
          <w:u w:color="000000"/>
          <w:rtl w:val="0"/>
          <w:lang w:val="en-US"/>
        </w:rPr>
        <w:t>S. alterniflora</w:t>
      </w:r>
      <w:r>
        <w:rPr>
          <w:rFonts w:ascii="Times New Roman" w:hAnsi="Times New Roman"/>
          <w:sz w:val="24"/>
          <w:szCs w:val="24"/>
          <w:u w:color="000000"/>
          <w:rtl w:val="0"/>
          <w:lang w:val="en-US"/>
        </w:rPr>
        <w:t xml:space="preserve">, located near tidal creeks). The 5-10 ppt was the only block where a survey was conducted without knowing whether </w:t>
      </w:r>
      <w:r>
        <w:rPr>
          <w:rFonts w:ascii="Times New Roman" w:hAnsi="Times New Roman"/>
          <w:i w:val="1"/>
          <w:iCs w:val="1"/>
          <w:sz w:val="24"/>
          <w:szCs w:val="24"/>
          <w:u w:color="000000"/>
          <w:rtl w:val="0"/>
          <w:lang w:val="en-US"/>
        </w:rPr>
        <w:t xml:space="preserve">G. demissa </w:t>
      </w:r>
      <w:r>
        <w:rPr>
          <w:rFonts w:ascii="Times New Roman" w:hAnsi="Times New Roman"/>
          <w:sz w:val="24"/>
          <w:szCs w:val="24"/>
          <w:u w:color="000000"/>
          <w:rtl w:val="0"/>
          <w:lang w:val="en-US"/>
        </w:rPr>
        <w:t>was present beforehand.</w:t>
      </w:r>
    </w:p>
    <w:p>
      <w:pPr>
        <w:pStyle w:val="Body"/>
        <w:bidi w:val="0"/>
        <w:spacing w:line="480" w:lineRule="auto"/>
        <w:ind w:left="0" w:right="0" w:firstLine="720"/>
        <w:jc w:val="left"/>
        <w:rPr>
          <w:rFonts w:ascii="Times New Roman" w:cs="Times New Roman" w:hAnsi="Times New Roman" w:eastAsia="Times New Roman"/>
          <w:sz w:val="24"/>
          <w:szCs w:val="24"/>
          <w:u w:color="000000"/>
          <w:rtl w:val="0"/>
        </w:rPr>
      </w:pPr>
      <w:r>
        <w:rPr>
          <w:rFonts w:ascii="Times New Roman" w:hAnsi="Times New Roman"/>
          <w:sz w:val="24"/>
          <w:szCs w:val="24"/>
          <w:u w:color="000000"/>
          <w:rtl w:val="0"/>
          <w:lang w:val="en-US"/>
        </w:rPr>
        <w:t xml:space="preserve">Within each block, two surveys were conducted to establish the relationship between </w:t>
      </w:r>
      <w:r>
        <w:rPr>
          <w:rFonts w:ascii="Times New Roman" w:hAnsi="Times New Roman"/>
          <w:i w:val="1"/>
          <w:iCs w:val="1"/>
          <w:sz w:val="24"/>
          <w:szCs w:val="24"/>
          <w:u w:color="000000"/>
          <w:rtl w:val="0"/>
          <w:lang w:val="en-US"/>
        </w:rPr>
        <w:t xml:space="preserve">G. demissa </w:t>
      </w:r>
      <w:r>
        <w:rPr>
          <w:rFonts w:ascii="Times New Roman" w:hAnsi="Times New Roman"/>
          <w:sz w:val="24"/>
          <w:szCs w:val="24"/>
          <w:u w:color="000000"/>
          <w:rtl w:val="0"/>
          <w:lang w:val="en-US"/>
        </w:rPr>
        <w:t xml:space="preserve">presence and elevation. A 30-point grid consisting of five adjacent transects was superimposed over each area of marsh </w:t>
      </w:r>
      <w:r>
        <w:rPr>
          <w:rFonts w:ascii="Times New Roman" w:hAnsi="Times New Roman"/>
          <w:sz w:val="24"/>
          <w:szCs w:val="24"/>
          <w:u w:color="000000"/>
          <w:rtl w:val="0"/>
          <w:lang w:val="it-IT"/>
        </w:rPr>
        <w:t>using ArcGIS (Version 10.3.1)</w:t>
      </w:r>
      <w:r>
        <w:rPr>
          <w:rFonts w:ascii="Times New Roman" w:hAnsi="Times New Roman"/>
          <w:sz w:val="24"/>
          <w:szCs w:val="24"/>
          <w:u w:color="000000"/>
          <w:rtl w:val="0"/>
          <w:lang w:val="en-US"/>
        </w:rPr>
        <w:t xml:space="preserve">. Each transect began at the edge of the marsh and ran perpendicularly into the marsh interior, ensuring a range of elevations was included in each survey. Each point was scored for the presence or absence of </w:t>
      </w:r>
      <w:r>
        <w:rPr>
          <w:rFonts w:ascii="Times New Roman" w:hAnsi="Times New Roman"/>
          <w:i w:val="1"/>
          <w:iCs w:val="1"/>
          <w:sz w:val="24"/>
          <w:szCs w:val="24"/>
          <w:u w:color="000000"/>
          <w:rtl w:val="0"/>
          <w:lang w:val="en-US"/>
        </w:rPr>
        <w:t xml:space="preserve">G. demissa </w:t>
      </w:r>
      <w:r>
        <w:rPr>
          <w:rFonts w:ascii="Times New Roman" w:hAnsi="Times New Roman"/>
          <w:sz w:val="24"/>
          <w:szCs w:val="24"/>
          <w:u w:color="000000"/>
          <w:rtl w:val="0"/>
          <w:lang w:val="en-US"/>
        </w:rPr>
        <w:t>within a 1 m radius, and the elevation was recorded using an R8 trimble. The R8 system records elevation relative to the NAVD 88 tidal datum, which is based in Pointe-au-Pere, Canada. Therefore, measurements recorded by the R8 do not reflect elevation above a local tidal datum in Charleston Harbor. Efforts are currently being made to establish a local tidal datum.</w:t>
      </w:r>
    </w:p>
    <w:p>
      <w:pPr>
        <w:pStyle w:val="Body"/>
        <w:bidi w:val="0"/>
        <w:spacing w:line="480" w:lineRule="auto"/>
        <w:ind w:left="0" w:right="0" w:firstLine="0"/>
        <w:jc w:val="left"/>
        <w:rPr>
          <w:rFonts w:ascii="Times New Roman" w:cs="Times New Roman" w:hAnsi="Times New Roman" w:eastAsia="Times New Roman"/>
          <w:i w:val="1"/>
          <w:iCs w:val="1"/>
          <w:sz w:val="24"/>
          <w:szCs w:val="24"/>
          <w:u w:color="000000"/>
          <w:rtl w:val="0"/>
        </w:rPr>
      </w:pPr>
      <w:r>
        <w:rPr>
          <w:rFonts w:ascii="Times New Roman" w:hAnsi="Times New Roman"/>
          <w:i w:val="1"/>
          <w:iCs w:val="1"/>
          <w:sz w:val="24"/>
          <w:szCs w:val="24"/>
          <w:u w:color="000000"/>
          <w:rtl w:val="0"/>
          <w:lang w:val="en-US"/>
        </w:rPr>
        <w:t>Statistics and model selection</w:t>
      </w:r>
    </w:p>
    <w:p>
      <w:pPr>
        <w:pStyle w:val="Body"/>
        <w:bidi w:val="0"/>
        <w:spacing w:line="480" w:lineRule="auto"/>
        <w:ind w:left="0" w:right="0" w:firstLine="720"/>
        <w:jc w:val="left"/>
        <w:rPr>
          <w:rFonts w:ascii="Times New Roman" w:cs="Times New Roman" w:hAnsi="Times New Roman" w:eastAsia="Times New Roman"/>
          <w:sz w:val="24"/>
          <w:szCs w:val="24"/>
          <w:u w:color="000000"/>
          <w:rtl w:val="0"/>
        </w:rPr>
      </w:pPr>
      <w:r>
        <w:rPr>
          <w:rFonts w:ascii="Times New Roman" w:hAnsi="Times New Roman"/>
          <w:sz w:val="24"/>
          <w:szCs w:val="24"/>
          <w:u w:color="000000"/>
          <w:rtl w:val="0"/>
          <w:lang w:val="en-US"/>
        </w:rPr>
        <w:t xml:space="preserve">Logistic regression was used to model the relationship between </w:t>
      </w:r>
      <w:r>
        <w:rPr>
          <w:rFonts w:ascii="Times New Roman" w:hAnsi="Times New Roman"/>
          <w:i w:val="1"/>
          <w:iCs w:val="1"/>
          <w:sz w:val="24"/>
          <w:szCs w:val="24"/>
          <w:u w:color="000000"/>
          <w:rtl w:val="0"/>
          <w:lang w:val="en-US"/>
        </w:rPr>
        <w:t xml:space="preserve">G. demissa </w:t>
      </w:r>
      <w:r>
        <w:rPr>
          <w:rFonts w:ascii="Times New Roman" w:hAnsi="Times New Roman"/>
          <w:sz w:val="24"/>
          <w:szCs w:val="24"/>
          <w:u w:color="000000"/>
          <w:rtl w:val="0"/>
          <w:lang w:val="en-US"/>
        </w:rPr>
        <w:t>presence and elevation as well as the effects of salinity. Data were initially fit to a simple model using elevation as the only factor. This model was compared to subsequent models using likelihood ratio tests (LRTs) and Aikake information criteria (AICs). McFadden pseudo-</w:t>
      </w:r>
      <w:r>
        <w:rPr>
          <w:rFonts w:ascii="Times New Roman" w:hAnsi="Times New Roman"/>
          <w:sz w:val="24"/>
          <w:szCs w:val="24"/>
          <w:u w:color="000000"/>
          <w:rtl w:val="0"/>
        </w:rPr>
        <w:t>R</w:t>
      </w:r>
      <w:r>
        <w:rPr>
          <w:rFonts w:ascii="Times New Roman" w:hAnsi="Times New Roman"/>
          <w:sz w:val="24"/>
          <w:szCs w:val="24"/>
          <w:u w:color="000000"/>
          <w:vertAlign w:val="superscript"/>
          <w:rtl w:val="0"/>
        </w:rPr>
        <w:t>2</w:t>
      </w:r>
      <w:r>
        <w:rPr>
          <w:rFonts w:ascii="Times New Roman" w:hAnsi="Times New Roman"/>
          <w:sz w:val="24"/>
          <w:szCs w:val="24"/>
          <w:u w:color="000000"/>
          <w:rtl w:val="0"/>
          <w:lang w:val="en-US"/>
        </w:rPr>
        <w:t xml:space="preserve"> values were calculated using the </w:t>
      </w:r>
      <w:r>
        <w:rPr>
          <w:rFonts w:ascii="Times New Roman" w:hAnsi="Times New Roman"/>
          <w:i w:val="1"/>
          <w:iCs w:val="1"/>
          <w:sz w:val="24"/>
          <w:szCs w:val="24"/>
          <w:u w:color="000000"/>
          <w:rtl w:val="0"/>
          <w:lang w:val="en-US"/>
        </w:rPr>
        <w:t>pscl</w:t>
      </w:r>
      <w:r>
        <w:rPr>
          <w:rFonts w:ascii="Times New Roman" w:hAnsi="Times New Roman"/>
          <w:sz w:val="24"/>
          <w:szCs w:val="24"/>
          <w:u w:color="000000"/>
          <w:rtl w:val="0"/>
          <w:lang w:val="en-US"/>
        </w:rPr>
        <w:t xml:space="preserve"> package in R (version 3.3.2). The factors included in each model, as well as their AIC scores, are listed in Table 1. </w:t>
      </w:r>
    </w:p>
    <w:p>
      <w:pPr>
        <w:pStyle w:val="Body"/>
        <w:bidi w:val="0"/>
        <w:spacing w:line="480" w:lineRule="auto"/>
        <w:ind w:left="0" w:right="0" w:firstLine="720"/>
        <w:jc w:val="left"/>
        <w:rPr>
          <w:rFonts w:ascii="Times New Roman" w:cs="Times New Roman" w:hAnsi="Times New Roman" w:eastAsia="Times New Roman"/>
          <w:i w:val="1"/>
          <w:iCs w:val="1"/>
          <w:sz w:val="24"/>
          <w:szCs w:val="24"/>
          <w:u w:val="single" w:color="000000"/>
          <w:rtl w:val="0"/>
        </w:rPr>
      </w:pPr>
    </w:p>
    <w:p>
      <w:pPr>
        <w:pStyle w:val="Body"/>
        <w:bidi w:val="0"/>
        <w:spacing w:line="480" w:lineRule="auto"/>
        <w:ind w:left="0" w:right="0" w:firstLine="0"/>
        <w:jc w:val="left"/>
        <w:rPr>
          <w:rFonts w:ascii="Times New Roman" w:cs="Times New Roman" w:hAnsi="Times New Roman" w:eastAsia="Times New Roman"/>
          <w:i w:val="0"/>
          <w:iCs w:val="0"/>
          <w:sz w:val="24"/>
          <w:szCs w:val="24"/>
          <w:u w:val="single" w:color="000000"/>
          <w:rtl w:val="0"/>
        </w:rPr>
      </w:pPr>
      <w:r>
        <w:rPr>
          <w:rFonts w:ascii="Times New Roman" w:hAnsi="Times New Roman"/>
          <w:i w:val="0"/>
          <w:iCs w:val="0"/>
          <w:sz w:val="24"/>
          <w:szCs w:val="24"/>
          <w:u w:val="single" w:color="000000"/>
          <w:rtl w:val="0"/>
          <w:lang w:val="en-US"/>
        </w:rPr>
        <w:t>Results</w:t>
      </w:r>
    </w:p>
    <w:p>
      <w:pPr>
        <w:pStyle w:val="Body"/>
        <w:bidi w:val="0"/>
        <w:spacing w:line="480" w:lineRule="auto"/>
        <w:ind w:left="0" w:right="0" w:firstLine="720"/>
        <w:jc w:val="left"/>
        <w:rPr>
          <w:rFonts w:ascii="Times New Roman" w:cs="Times New Roman" w:hAnsi="Times New Roman" w:eastAsia="Times New Roman"/>
          <w:sz w:val="24"/>
          <w:szCs w:val="24"/>
          <w:u w:color="000000"/>
          <w:rtl w:val="0"/>
        </w:rPr>
      </w:pPr>
      <w:r>
        <w:rPr>
          <w:rFonts w:ascii="Times New Roman" w:hAnsi="Times New Roman"/>
          <w:sz w:val="24"/>
          <w:szCs w:val="24"/>
          <w:u w:color="000000"/>
          <w:rtl w:val="0"/>
          <w:lang w:val="en-US"/>
        </w:rPr>
        <w:t xml:space="preserve">The portion of the Ashley River that was surveyed for </w:t>
      </w:r>
      <w:r>
        <w:rPr>
          <w:rFonts w:ascii="Times New Roman" w:hAnsi="Times New Roman"/>
          <w:i w:val="1"/>
          <w:iCs w:val="1"/>
          <w:sz w:val="24"/>
          <w:szCs w:val="24"/>
          <w:u w:color="000000"/>
          <w:rtl w:val="0"/>
          <w:lang w:val="en-US"/>
        </w:rPr>
        <w:t xml:space="preserve">G. demissa </w:t>
      </w:r>
      <w:r>
        <w:rPr>
          <w:rFonts w:ascii="Times New Roman" w:hAnsi="Times New Roman"/>
          <w:sz w:val="24"/>
          <w:szCs w:val="24"/>
          <w:u w:color="000000"/>
          <w:rtl w:val="0"/>
          <w:lang w:val="en-US"/>
        </w:rPr>
        <w:t xml:space="preserve">is shown in Figure 1, with average summer salinities displayed at their sampling location. The river was divided into 5-ppt blocks </w:t>
      </w:r>
      <w:r>
        <w:rPr>
          <w:rFonts w:ascii="Times New Roman" w:hAnsi="Times New Roman"/>
          <w:sz w:val="24"/>
          <w:szCs w:val="24"/>
          <w:u w:color="000000"/>
          <w:rtl w:val="0"/>
          <w:lang w:val="en-US"/>
        </w:rPr>
        <w:t>(5-10, 10-15, 15-20, and 20-25 ppt)</w:t>
      </w:r>
      <w:r>
        <w:rPr>
          <w:rFonts w:ascii="Times New Roman" w:hAnsi="Times New Roman"/>
          <w:sz w:val="24"/>
          <w:szCs w:val="24"/>
          <w:u w:color="000000"/>
          <w:rtl w:val="0"/>
          <w:lang w:val="en-US"/>
        </w:rPr>
        <w:t>. Within each salinity block, 80% of average monthly salinities fell within their specified range. It is important to note that these blocks only represent average summer salinities; average winter salinities may be lower than those reported in this study.</w:t>
      </w:r>
    </w:p>
    <w:p>
      <w:pPr>
        <w:pStyle w:val="Body"/>
        <w:bidi w:val="0"/>
        <w:spacing w:line="480" w:lineRule="auto"/>
        <w:ind w:left="0" w:right="0" w:firstLine="720"/>
        <w:jc w:val="left"/>
        <w:rPr>
          <w:rFonts w:ascii="Times New Roman" w:cs="Times New Roman" w:hAnsi="Times New Roman" w:eastAsia="Times New Roman"/>
          <w:sz w:val="24"/>
          <w:szCs w:val="24"/>
          <w:u w:color="000000"/>
          <w:rtl w:val="0"/>
        </w:rPr>
      </w:pPr>
      <w:r>
        <w:rPr>
          <w:rFonts w:ascii="Times New Roman" w:hAnsi="Times New Roman"/>
          <w:sz w:val="24"/>
          <w:szCs w:val="24"/>
          <w:u w:color="000000"/>
          <w:rtl w:val="0"/>
          <w:lang w:val="en-US"/>
        </w:rPr>
        <w:t xml:space="preserve">Two blocks, each consisting of two grids overlaying separate areas of marsh, were surveyed in February and March 2017 (32.80477 -79.975352; 32.813713 -79.969688; 32.832205 -80.007947; 32.827364 -80.019595). There was a significant relationship between </w:t>
      </w:r>
      <w:r>
        <w:rPr>
          <w:rFonts w:ascii="Times New Roman" w:hAnsi="Times New Roman"/>
          <w:i w:val="1"/>
          <w:iCs w:val="1"/>
          <w:sz w:val="24"/>
          <w:szCs w:val="24"/>
          <w:u w:color="000000"/>
          <w:rtl w:val="0"/>
          <w:lang w:val="en-US"/>
        </w:rPr>
        <w:t xml:space="preserve">G. demissa </w:t>
      </w:r>
      <w:r>
        <w:rPr>
          <w:rFonts w:ascii="Times New Roman" w:hAnsi="Times New Roman"/>
          <w:sz w:val="24"/>
          <w:szCs w:val="24"/>
          <w:u w:color="000000"/>
          <w:rtl w:val="0"/>
          <w:lang w:val="en-US"/>
        </w:rPr>
        <w:t xml:space="preserve">presence and elevation (logistic regression, df = 116, p &lt; 0.01). </w:t>
      </w:r>
    </w:p>
    <w:p>
      <w:pPr>
        <w:pStyle w:val="Body"/>
        <w:bidi w:val="0"/>
        <w:spacing w:line="480" w:lineRule="auto"/>
        <w:ind w:left="0" w:right="0" w:firstLine="0"/>
        <w:jc w:val="left"/>
        <w:rPr>
          <w:rFonts w:ascii="Times New Roman" w:cs="Times New Roman" w:hAnsi="Times New Roman" w:eastAsia="Times New Roman"/>
          <w:i w:val="1"/>
          <w:iCs w:val="1"/>
          <w:sz w:val="24"/>
          <w:szCs w:val="24"/>
          <w:u w:color="000000"/>
          <w:rtl w:val="0"/>
        </w:rPr>
      </w:pPr>
      <w:r>
        <w:rPr>
          <w:rFonts w:ascii="Times New Roman" w:hAnsi="Times New Roman"/>
          <w:i w:val="1"/>
          <w:iCs w:val="1"/>
          <w:sz w:val="24"/>
          <w:szCs w:val="24"/>
          <w:u w:color="000000"/>
          <w:rtl w:val="0"/>
          <w:lang w:val="en-US"/>
        </w:rPr>
        <w:t>Model selection</w:t>
      </w:r>
    </w:p>
    <w:p>
      <w:pPr>
        <w:pStyle w:val="Body"/>
        <w:bidi w:val="0"/>
        <w:spacing w:line="480" w:lineRule="auto"/>
        <w:ind w:left="0" w:right="0" w:firstLine="720"/>
        <w:jc w:val="left"/>
        <w:rPr>
          <w:rFonts w:ascii="Times New Roman" w:cs="Times New Roman" w:hAnsi="Times New Roman" w:eastAsia="Times New Roman"/>
          <w:sz w:val="24"/>
          <w:szCs w:val="24"/>
          <w:u w:color="000000"/>
          <w:rtl w:val="0"/>
        </w:rPr>
      </w:pPr>
      <w:r>
        <w:rPr>
          <w:rFonts w:ascii="Times New Roman" w:hAnsi="Times New Roman"/>
          <w:sz w:val="24"/>
          <w:szCs w:val="24"/>
          <w:u w:color="000000"/>
          <w:rtl w:val="0"/>
          <w:lang w:val="en-US"/>
        </w:rPr>
        <w:t xml:space="preserve">All models used to describe the relationship between </w:t>
      </w:r>
      <w:r>
        <w:rPr>
          <w:rFonts w:ascii="Times New Roman" w:hAnsi="Times New Roman"/>
          <w:i w:val="1"/>
          <w:iCs w:val="1"/>
          <w:sz w:val="24"/>
          <w:szCs w:val="24"/>
          <w:u w:color="000000"/>
          <w:rtl w:val="0"/>
          <w:lang w:val="en-US"/>
        </w:rPr>
        <w:t xml:space="preserve">G. demissa </w:t>
      </w:r>
      <w:r>
        <w:rPr>
          <w:rFonts w:ascii="Times New Roman" w:hAnsi="Times New Roman"/>
          <w:sz w:val="24"/>
          <w:szCs w:val="24"/>
          <w:u w:color="000000"/>
          <w:rtl w:val="0"/>
          <w:lang w:val="en-US"/>
        </w:rPr>
        <w:t>presence, elevation, and salinity are displayed in Table 1. Models that used the square of elevation (elevation</w:t>
      </w:r>
      <w:r>
        <w:rPr>
          <w:rFonts w:ascii="Times New Roman" w:hAnsi="Times New Roman"/>
          <w:sz w:val="24"/>
          <w:szCs w:val="24"/>
          <w:u w:color="000000"/>
          <w:vertAlign w:val="superscript"/>
          <w:rtl w:val="0"/>
          <w:lang w:val="en-US"/>
        </w:rPr>
        <w:t>2</w:t>
      </w:r>
      <w:r>
        <w:rPr>
          <w:rFonts w:ascii="Times New Roman" w:hAnsi="Times New Roman"/>
          <w:sz w:val="24"/>
          <w:szCs w:val="24"/>
          <w:u w:color="000000"/>
          <w:rtl w:val="0"/>
          <w:lang w:val="en-US"/>
        </w:rPr>
        <w:t>) were significantly more likely (LRT, p &lt; 0.01) than those that only used elevation, which was also reflected by their lower AIC scores. Of the models that used elevation</w:t>
      </w:r>
      <w:r>
        <w:rPr>
          <w:rFonts w:ascii="Times New Roman" w:hAnsi="Times New Roman"/>
          <w:sz w:val="24"/>
          <w:szCs w:val="24"/>
          <w:u w:color="000000"/>
          <w:vertAlign w:val="superscript"/>
          <w:rtl w:val="0"/>
          <w:lang w:val="en-US"/>
        </w:rPr>
        <w:t>2</w:t>
      </w:r>
      <w:r>
        <w:rPr>
          <w:rFonts w:ascii="Times New Roman" w:hAnsi="Times New Roman"/>
          <w:sz w:val="24"/>
          <w:szCs w:val="24"/>
          <w:u w:color="000000"/>
          <w:rtl w:val="0"/>
          <w:lang w:val="en-US"/>
        </w:rPr>
        <w:t xml:space="preserve"> as a factor, the best model included the salinity block term but not the interaction between elevation and salinity (LRT, p = 0.017). This model also had the lowest AIC (Table 1).</w:t>
      </w:r>
    </w:p>
    <w:p>
      <w:pPr>
        <w:pStyle w:val="Body"/>
        <w:bidi w:val="0"/>
        <w:spacing w:line="480" w:lineRule="auto"/>
        <w:ind w:left="0" w:right="0" w:firstLine="720"/>
        <w:jc w:val="left"/>
        <w:rPr>
          <w:rFonts w:ascii="Times New Roman" w:cs="Times New Roman" w:hAnsi="Times New Roman" w:eastAsia="Times New Roman"/>
          <w:sz w:val="24"/>
          <w:szCs w:val="24"/>
          <w:u w:color="000000"/>
          <w:rtl w:val="0"/>
        </w:rPr>
      </w:pPr>
      <w:r>
        <w:rPr>
          <w:rFonts w:ascii="Times New Roman" w:hAnsi="Times New Roman"/>
          <w:sz w:val="24"/>
          <w:szCs w:val="24"/>
          <w:u w:color="000000"/>
          <w:rtl w:val="0"/>
          <w:lang w:val="en-US"/>
        </w:rPr>
        <w:t xml:space="preserve">The best fitting model indicated that elevation had a significant effect on the probability of </w:t>
      </w:r>
      <w:r>
        <w:rPr>
          <w:rFonts w:ascii="Times New Roman" w:hAnsi="Times New Roman"/>
          <w:i w:val="1"/>
          <w:iCs w:val="1"/>
          <w:sz w:val="24"/>
          <w:szCs w:val="24"/>
          <w:u w:color="000000"/>
          <w:rtl w:val="0"/>
          <w:lang w:val="en-US"/>
        </w:rPr>
        <w:t xml:space="preserve">G. demissa </w:t>
      </w:r>
      <w:r>
        <w:rPr>
          <w:rFonts w:ascii="Times New Roman" w:hAnsi="Times New Roman"/>
          <w:sz w:val="24"/>
          <w:szCs w:val="24"/>
          <w:u w:color="000000"/>
          <w:rtl w:val="0"/>
          <w:lang w:val="en-US"/>
        </w:rPr>
        <w:t xml:space="preserve">occurrence (logistic regression, df = 116, p &lt; 0.01), as did salinity (p = 0.022). The probability was higher in the lower salinity block (10-15 ppt). There was no interaction between salinity and elevation; the elevational range of </w:t>
      </w:r>
      <w:r>
        <w:rPr>
          <w:rFonts w:ascii="Times New Roman" w:hAnsi="Times New Roman"/>
          <w:i w:val="1"/>
          <w:iCs w:val="1"/>
          <w:sz w:val="24"/>
          <w:szCs w:val="24"/>
          <w:u w:color="000000"/>
          <w:rtl w:val="0"/>
          <w:lang w:val="en-US"/>
        </w:rPr>
        <w:t xml:space="preserve">G. demissa </w:t>
      </w:r>
      <w:r>
        <w:rPr>
          <w:rFonts w:ascii="Times New Roman" w:hAnsi="Times New Roman"/>
          <w:sz w:val="24"/>
          <w:szCs w:val="24"/>
          <w:u w:color="000000"/>
          <w:rtl w:val="0"/>
          <w:lang w:val="en-US"/>
        </w:rPr>
        <w:t xml:space="preserve">remained constant across the two salinity blocks. Figure 2 shows the relationship between </w:t>
      </w:r>
      <w:r>
        <w:rPr>
          <w:rFonts w:ascii="Times New Roman" w:hAnsi="Times New Roman"/>
          <w:i w:val="1"/>
          <w:iCs w:val="1"/>
          <w:sz w:val="24"/>
          <w:szCs w:val="24"/>
          <w:u w:color="000000"/>
          <w:rtl w:val="0"/>
          <w:lang w:val="en-US"/>
        </w:rPr>
        <w:t xml:space="preserve">G. demissa </w:t>
      </w:r>
      <w:r>
        <w:rPr>
          <w:rFonts w:ascii="Times New Roman" w:hAnsi="Times New Roman"/>
          <w:sz w:val="24"/>
          <w:szCs w:val="24"/>
          <w:u w:color="000000"/>
          <w:rtl w:val="0"/>
          <w:lang w:val="en-US"/>
        </w:rPr>
        <w:t>presence and elevation; the red and black lines represent the output from the elevation</w:t>
      </w:r>
      <w:r>
        <w:rPr>
          <w:rFonts w:ascii="Times New Roman" w:hAnsi="Times New Roman"/>
          <w:sz w:val="24"/>
          <w:szCs w:val="24"/>
          <w:u w:color="000000"/>
          <w:vertAlign w:val="superscript"/>
          <w:rtl w:val="0"/>
          <w:lang w:val="en-US"/>
        </w:rPr>
        <w:t xml:space="preserve">2 </w:t>
      </w:r>
      <w:r>
        <w:rPr>
          <w:rFonts w:ascii="Times New Roman" w:hAnsi="Times New Roman"/>
          <w:sz w:val="24"/>
          <w:szCs w:val="24"/>
          <w:u w:color="000000"/>
          <w:rtl w:val="0"/>
          <w:lang w:val="en-US"/>
        </w:rPr>
        <w:t>+ block</w:t>
      </w:r>
      <w:r>
        <w:rPr>
          <w:rFonts w:ascii="Times New Roman" w:hAnsi="Times New Roman"/>
          <w:sz w:val="24"/>
          <w:szCs w:val="24"/>
          <w:u w:color="000000"/>
          <w:rtl w:val="0"/>
          <w:lang w:val="en-US"/>
        </w:rPr>
        <w:t xml:space="preserve"> model. </w:t>
      </w:r>
    </w:p>
    <w:p>
      <w:pPr>
        <w:pStyle w:val="Body"/>
        <w:bidi w:val="0"/>
        <w:spacing w:line="480" w:lineRule="auto"/>
        <w:ind w:left="0" w:right="0" w:firstLine="720"/>
        <w:jc w:val="left"/>
        <w:rPr>
          <w:rFonts w:ascii="Times New Roman" w:cs="Times New Roman" w:hAnsi="Times New Roman" w:eastAsia="Times New Roman"/>
          <w:sz w:val="24"/>
          <w:szCs w:val="24"/>
          <w:u w:color="000000"/>
          <w:rtl w:val="0"/>
        </w:rPr>
      </w:pPr>
    </w:p>
    <w:p>
      <w:pPr>
        <w:pStyle w:val="Body"/>
        <w:bidi w:val="0"/>
        <w:spacing w:line="480" w:lineRule="auto"/>
        <w:ind w:left="0" w:right="0" w:firstLine="720"/>
        <w:jc w:val="left"/>
        <w:rPr>
          <w:rFonts w:ascii="Times New Roman" w:cs="Times New Roman" w:hAnsi="Times New Roman" w:eastAsia="Times New Roman"/>
          <w:sz w:val="24"/>
          <w:szCs w:val="24"/>
          <w:u w:color="000000"/>
          <w:rtl w:val="0"/>
        </w:rPr>
      </w:pPr>
    </w:p>
    <w:p>
      <w:pPr>
        <w:pStyle w:val="Body"/>
        <w:bidi w:val="0"/>
        <w:spacing w:line="480" w:lineRule="auto"/>
        <w:ind w:left="0" w:right="0" w:firstLine="720"/>
        <w:jc w:val="left"/>
        <w:rPr>
          <w:rFonts w:ascii="Times New Roman" w:cs="Times New Roman" w:hAnsi="Times New Roman" w:eastAsia="Times New Roman"/>
          <w:sz w:val="24"/>
          <w:szCs w:val="24"/>
          <w:u w:color="000000"/>
          <w:rtl w:val="0"/>
        </w:rPr>
      </w:pPr>
      <w:r>
        <w:rPr>
          <w:rFonts w:ascii="Times New Roman" w:hAnsi="Times New Roman"/>
          <w:sz w:val="24"/>
          <w:szCs w:val="24"/>
          <w:u w:color="000000"/>
          <w:rtl w:val="0"/>
          <w:lang w:val="en-US"/>
        </w:rPr>
        <w:t xml:space="preserve">Table 1. Description of models used for </w:t>
      </w:r>
      <w:r>
        <w:rPr>
          <w:rFonts w:ascii="Times New Roman" w:hAnsi="Times New Roman"/>
          <w:i w:val="1"/>
          <w:iCs w:val="1"/>
          <w:sz w:val="24"/>
          <w:szCs w:val="24"/>
          <w:u w:color="000000"/>
          <w:rtl w:val="0"/>
          <w:lang w:val="en-US"/>
        </w:rPr>
        <w:t xml:space="preserve">Geukensia demissa </w:t>
      </w:r>
      <w:r>
        <w:rPr>
          <w:rFonts w:ascii="Times New Roman" w:hAnsi="Times New Roman"/>
          <w:sz w:val="24"/>
          <w:szCs w:val="24"/>
          <w:u w:color="000000"/>
          <w:rtl w:val="0"/>
          <w:lang w:val="en-US"/>
        </w:rPr>
        <w:t>distribution</w:t>
      </w:r>
      <w:r>
        <w:rPr>
          <w:rFonts w:ascii="Times New Roman" w:cs="Times New Roman" w:hAnsi="Times New Roman" w:eastAsia="Times New Roman"/>
          <w:sz w:val="24"/>
          <w:szCs w:val="24"/>
          <w:u w:color="000000"/>
          <w:rtl w:val="0"/>
        </w:rPr>
        <w:drawing>
          <wp:anchor distT="152400" distB="152400" distL="152400" distR="152400" simplePos="0" relativeHeight="251659264" behindDoc="0" locked="0" layoutInCell="1" allowOverlap="1">
            <wp:simplePos x="0" y="0"/>
            <wp:positionH relativeFrom="margin">
              <wp:posOffset>346008</wp:posOffset>
            </wp:positionH>
            <wp:positionV relativeFrom="line">
              <wp:posOffset>511175</wp:posOffset>
            </wp:positionV>
            <wp:extent cx="4162502" cy="4010056"/>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ggmap!.png"/>
                    <pic:cNvPicPr>
                      <a:picLocks noChangeAspect="1"/>
                    </pic:cNvPicPr>
                  </pic:nvPicPr>
                  <pic:blipFill>
                    <a:blip r:embed="rId4">
                      <a:extLst/>
                    </a:blip>
                    <a:srcRect l="7311" t="0" r="7311" b="0"/>
                    <a:stretch>
                      <a:fillRect/>
                    </a:stretch>
                  </pic:blipFill>
                  <pic:spPr>
                    <a:xfrm>
                      <a:off x="0" y="0"/>
                      <a:ext cx="4162502" cy="4010056"/>
                    </a:xfrm>
                    <a:prstGeom prst="rect">
                      <a:avLst/>
                    </a:prstGeom>
                    <a:ln w="12700" cap="flat">
                      <a:noFill/>
                      <a:miter lim="400000"/>
                    </a:ln>
                    <a:effectLst/>
                  </pic:spPr>
                </pic:pic>
              </a:graphicData>
            </a:graphic>
          </wp:anchor>
        </w:drawing>
      </w:r>
    </w:p>
    <w:p>
      <w:pPr>
        <w:pStyle w:val="Body"/>
        <w:bidi w:val="0"/>
        <w:spacing w:line="480" w:lineRule="auto"/>
        <w:ind w:left="0" w:right="0" w:firstLine="720"/>
        <w:jc w:val="left"/>
        <w:rPr>
          <w:rFonts w:ascii="Times New Roman" w:cs="Times New Roman" w:hAnsi="Times New Roman" w:eastAsia="Times New Roman"/>
          <w:sz w:val="24"/>
          <w:szCs w:val="24"/>
          <w:u w:color="000000"/>
          <w:rtl w:val="0"/>
        </w:rPr>
      </w:pPr>
      <w:r>
        <w:rPr>
          <w:rFonts w:ascii="Times New Roman" w:hAnsi="Times New Roman"/>
          <w:sz w:val="24"/>
          <w:szCs w:val="24"/>
          <w:u w:color="000000"/>
          <w:rtl w:val="0"/>
          <w:lang w:val="en-US"/>
        </w:rPr>
        <w:t>Figure 1. Av</w:t>
      </w:r>
      <w:r>
        <mc:AlternateContent>
          <mc:Choice Requires="wps">
            <w:drawing>
              <wp:anchor distT="152400" distB="152400" distL="152400" distR="152400" simplePos="0" relativeHeight="251660288" behindDoc="0" locked="0" layoutInCell="1" allowOverlap="1">
                <wp:simplePos x="0" y="0"/>
                <wp:positionH relativeFrom="page">
                  <wp:posOffset>1584960</wp:posOffset>
                </wp:positionH>
                <wp:positionV relativeFrom="page">
                  <wp:posOffset>1308100</wp:posOffset>
                </wp:positionV>
                <wp:extent cx="5940425" cy="1951355"/>
                <wp:effectExtent l="0" t="0" r="0" b="0"/>
                <wp:wrapTopAndBottom distT="152400" distB="152400"/>
                <wp:docPr id="1073741826" name="officeArt object"/>
                <wp:cNvGraphicFramePr/>
                <a:graphic xmlns:a="http://schemas.openxmlformats.org/drawingml/2006/main">
                  <a:graphicData uri="http://schemas.microsoft.com/office/word/2010/wordprocessingShape">
                    <wps:wsp>
                      <wps:cNvSpPr/>
                      <wps:spPr>
                        <a:xfrm>
                          <a:off x="0" y="0"/>
                          <a:ext cx="5940425" cy="1951355"/>
                        </a:xfrm>
                        <a:prstGeom prst="rect">
                          <a:avLst/>
                        </a:prstGeom>
                      </wps:spPr>
                      <wps:txbx>
                        <w:txbxContent>
                          <w:tbl>
                            <w:tblPr>
                              <w:tblW w:w="6841" w:type="dxa"/>
                              <w:tblInd w:w="2"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770"/>
                              <w:gridCol w:w="4048"/>
                              <w:gridCol w:w="791"/>
                              <w:gridCol w:w="1232"/>
                            </w:tblGrid>
                            <w:tr>
                              <w:tblPrEx>
                                <w:shd w:val="clear" w:color="auto" w:fill="auto"/>
                              </w:tblPrEx>
                              <w:trPr>
                                <w:trHeight w:val="279" w:hRule="atLeast"/>
                              </w:trPr>
                              <w:tc>
                                <w:tcPr>
                                  <w:tcW w:type="dxa" w:w="7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Model</w:t>
                                  </w:r>
                                </w:p>
                              </w:tc>
                              <w:tc>
                                <w:tcPr>
                                  <w:tcW w:type="dxa" w:w="404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Factors</w:t>
                                  </w:r>
                                </w:p>
                              </w:tc>
                              <w:tc>
                                <w:tcPr>
                                  <w:tcW w:type="dxa" w:w="7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AIC</w:t>
                                  </w:r>
                                </w:p>
                              </w:tc>
                              <w:tc>
                                <w:tcPr>
                                  <w:tcW w:type="dxa" w:w="123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cs="Arial Unicode MS" w:eastAsia="Arial Unicode MS"/>
                                      <w:rtl w:val="0"/>
                                      <w:lang w:val="de-DE"/>
                                    </w:rPr>
                                    <w:t>Pseudo R</w:t>
                                  </w:r>
                                  <w:r>
                                    <w:rPr>
                                      <w:rFonts w:cs="Arial Unicode MS" w:eastAsia="Arial Unicode MS"/>
                                      <w:vertAlign w:val="superscript"/>
                                      <w:rtl w:val="0"/>
                                    </w:rPr>
                                    <w:t>2</w:t>
                                  </w:r>
                                </w:p>
                              </w:tc>
                            </w:tr>
                            <w:tr>
                              <w:tblPrEx>
                                <w:shd w:val="clear" w:color="auto" w:fill="auto"/>
                              </w:tblPrEx>
                              <w:trPr>
                                <w:trHeight w:val="279" w:hRule="atLeast"/>
                              </w:trPr>
                              <w:tc>
                                <w:tcPr>
                                  <w:tcW w:type="dxa" w:w="7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w:t>
                                  </w:r>
                                </w:p>
                              </w:tc>
                              <w:tc>
                                <w:tcPr>
                                  <w:tcW w:type="dxa" w:w="404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cs="Arial Unicode MS" w:eastAsia="Arial Unicode MS"/>
                                      <w:rtl w:val="0"/>
                                      <w:lang w:val="en-US"/>
                                    </w:rPr>
                                    <w:t>Elevation</w:t>
                                  </w:r>
                                  <w:r>
                                    <w:rPr>
                                      <w:rFonts w:cs="Arial Unicode MS" w:eastAsia="Arial Unicode MS"/>
                                      <w:rtl w:val="0"/>
                                      <w:lang w:val="en-US"/>
                                    </w:rPr>
                                    <w:t>, e</w:t>
                                  </w:r>
                                  <w:r>
                                    <w:rPr>
                                      <w:rFonts w:cs="Arial Unicode MS" w:eastAsia="Arial Unicode MS"/>
                                      <w:rtl w:val="0"/>
                                      <w:lang w:val="it-IT"/>
                                    </w:rPr>
                                    <w:t>levatio</w:t>
                                  </w:r>
                                  <w:r>
                                    <w:rPr>
                                      <w:rFonts w:cs="Arial Unicode MS" w:eastAsia="Arial Unicode MS"/>
                                      <w:rtl w:val="0"/>
                                      <w:lang w:val="en-US"/>
                                    </w:rPr>
                                    <w:t>n</w:t>
                                  </w:r>
                                  <w:r>
                                    <w:rPr>
                                      <w:rFonts w:cs="Arial Unicode MS" w:eastAsia="Arial Unicode MS"/>
                                      <w:vertAlign w:val="superscript"/>
                                      <w:rtl w:val="0"/>
                                      <w:lang w:val="en-US"/>
                                    </w:rPr>
                                    <w:t>2</w:t>
                                  </w:r>
                                  <w:r>
                                    <w:rPr>
                                      <w:rFonts w:cs="Arial Unicode MS" w:eastAsia="Arial Unicode MS"/>
                                      <w:rtl w:val="0"/>
                                    </w:rPr>
                                    <w:t xml:space="preserve">, </w:t>
                                  </w:r>
                                  <w:r>
                                    <w:rPr>
                                      <w:rFonts w:cs="Arial Unicode MS" w:eastAsia="Arial Unicode MS"/>
                                      <w:rtl w:val="0"/>
                                      <w:lang w:val="en-US"/>
                                    </w:rPr>
                                    <w:t>b</w:t>
                                  </w:r>
                                  <w:r>
                                    <w:rPr>
                                      <w:rFonts w:cs="Arial Unicode MS" w:eastAsia="Arial Unicode MS"/>
                                      <w:rtl w:val="0"/>
                                      <w:lang w:val="en-US"/>
                                    </w:rPr>
                                    <w:t>lock</w:t>
                                  </w:r>
                                </w:p>
                              </w:tc>
                              <w:tc>
                                <w:tcPr>
                                  <w:tcW w:type="dxa" w:w="7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125.5</w:t>
                                  </w:r>
                                </w:p>
                              </w:tc>
                              <w:tc>
                                <w:tcPr>
                                  <w:tcW w:type="dxa" w:w="123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0.24</w:t>
                                  </w:r>
                                </w:p>
                              </w:tc>
                            </w:tr>
                            <w:tr>
                              <w:tblPrEx>
                                <w:shd w:val="clear" w:color="auto" w:fill="auto"/>
                              </w:tblPrEx>
                              <w:trPr>
                                <w:trHeight w:val="485" w:hRule="atLeast"/>
                              </w:trPr>
                              <w:tc>
                                <w:tcPr>
                                  <w:tcW w:type="dxa" w:w="7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w:t>
                                  </w:r>
                                </w:p>
                              </w:tc>
                              <w:tc>
                                <w:tcPr>
                                  <w:tcW w:type="dxa" w:w="404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cs="Arial Unicode MS" w:eastAsia="Arial Unicode MS"/>
                                      <w:rtl w:val="0"/>
                                      <w:lang w:val="en-US"/>
                                    </w:rPr>
                                    <w:t>Elevation</w:t>
                                  </w:r>
                                  <w:r>
                                    <w:rPr>
                                      <w:rFonts w:cs="Arial Unicode MS" w:eastAsia="Arial Unicode MS"/>
                                      <w:rtl w:val="0"/>
                                      <w:lang w:val="en-US"/>
                                    </w:rPr>
                                    <w:t>, e</w:t>
                                  </w:r>
                                  <w:r>
                                    <w:rPr>
                                      <w:rFonts w:cs="Arial Unicode MS" w:eastAsia="Arial Unicode MS"/>
                                      <w:rtl w:val="0"/>
                                      <w:lang w:val="it-IT"/>
                                    </w:rPr>
                                    <w:t>levatio</w:t>
                                  </w:r>
                                  <w:r>
                                    <w:rPr>
                                      <w:rFonts w:cs="Arial Unicode MS" w:eastAsia="Arial Unicode MS"/>
                                      <w:rtl w:val="0"/>
                                      <w:lang w:val="en-US"/>
                                    </w:rPr>
                                    <w:t>n</w:t>
                                  </w:r>
                                  <w:r>
                                    <w:rPr>
                                      <w:rFonts w:cs="Arial Unicode MS" w:eastAsia="Arial Unicode MS"/>
                                      <w:vertAlign w:val="superscript"/>
                                      <w:rtl w:val="0"/>
                                      <w:lang w:val="en-US"/>
                                    </w:rPr>
                                    <w:t>2</w:t>
                                  </w:r>
                                  <w:r>
                                    <w:rPr>
                                      <w:rFonts w:cs="Arial Unicode MS" w:eastAsia="Arial Unicode MS"/>
                                      <w:rtl w:val="0"/>
                                    </w:rPr>
                                    <w:t xml:space="preserve">, </w:t>
                                  </w:r>
                                  <w:r>
                                    <w:rPr>
                                      <w:rFonts w:cs="Arial Unicode MS" w:eastAsia="Arial Unicode MS"/>
                                      <w:rtl w:val="0"/>
                                      <w:lang w:val="en-US"/>
                                    </w:rPr>
                                    <w:t>b</w:t>
                                  </w:r>
                                  <w:r>
                                    <w:rPr>
                                      <w:rFonts w:cs="Arial Unicode MS" w:eastAsia="Arial Unicode MS"/>
                                      <w:rtl w:val="0"/>
                                      <w:lang w:val="en-US"/>
                                    </w:rPr>
                                    <w:t xml:space="preserve">lock, </w:t>
                                  </w:r>
                                  <w:r>
                                    <w:rPr>
                                      <w:rFonts w:cs="Arial Unicode MS" w:eastAsia="Arial Unicode MS"/>
                                      <w:rtl w:val="0"/>
                                      <w:lang w:val="en-US"/>
                                    </w:rPr>
                                    <w:t>e</w:t>
                                  </w:r>
                                  <w:r>
                                    <w:rPr>
                                      <w:rFonts w:cs="Arial Unicode MS" w:eastAsia="Arial Unicode MS"/>
                                      <w:rtl w:val="0"/>
                                      <w:lang w:val="it-IT"/>
                                    </w:rPr>
                                    <w:t>levatio</w:t>
                                  </w:r>
                                  <w:r>
                                    <w:rPr>
                                      <w:rFonts w:cs="Arial Unicode MS" w:eastAsia="Arial Unicode MS"/>
                                      <w:rtl w:val="0"/>
                                      <w:lang w:val="en-US"/>
                                    </w:rPr>
                                    <w:t>n</w:t>
                                  </w:r>
                                  <w:r>
                                    <w:rPr>
                                      <w:rFonts w:cs="Arial Unicode MS" w:eastAsia="Arial Unicode MS"/>
                                      <w:vertAlign w:val="superscript"/>
                                      <w:rtl w:val="0"/>
                                      <w:lang w:val="en-US"/>
                                    </w:rPr>
                                    <w:t>2</w:t>
                                  </w:r>
                                  <w:r>
                                    <w:rPr>
                                      <w:rFonts w:cs="Arial Unicode MS" w:eastAsia="Arial Unicode MS"/>
                                      <w:rtl w:val="0"/>
                                      <w:lang w:val="en-US"/>
                                    </w:rPr>
                                    <w:t xml:space="preserve"> </w:t>
                                  </w:r>
                                  <w:r>
                                    <w:rPr>
                                      <w:rFonts w:cs="Arial Unicode MS" w:eastAsia="Arial Unicode MS"/>
                                      <w:i w:val="1"/>
                                      <w:iCs w:val="1"/>
                                      <w:rtl w:val="0"/>
                                      <w:lang w:val="en-US"/>
                                    </w:rPr>
                                    <w:t>x</w:t>
                                  </w:r>
                                  <w:r>
                                    <w:rPr>
                                      <w:rFonts w:cs="Arial Unicode MS" w:eastAsia="Arial Unicode MS"/>
                                      <w:rtl w:val="0"/>
                                      <w:lang w:val="en-US"/>
                                    </w:rPr>
                                    <w:t xml:space="preserve"> b</w:t>
                                  </w:r>
                                  <w:r>
                                    <w:rPr>
                                      <w:rFonts w:cs="Arial Unicode MS" w:eastAsia="Arial Unicode MS"/>
                                      <w:rtl w:val="0"/>
                                      <w:lang w:val="en-US"/>
                                    </w:rPr>
                                    <w:t>lock</w:t>
                                  </w:r>
                                </w:p>
                              </w:tc>
                              <w:tc>
                                <w:tcPr>
                                  <w:tcW w:type="dxa" w:w="7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127.4</w:t>
                                  </w:r>
                                </w:p>
                              </w:tc>
                              <w:tc>
                                <w:tcPr>
                                  <w:tcW w:type="dxa" w:w="123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0.24</w:t>
                                  </w:r>
                                </w:p>
                              </w:tc>
                            </w:tr>
                            <w:tr>
                              <w:tblPrEx>
                                <w:shd w:val="clear" w:color="auto" w:fill="auto"/>
                              </w:tblPrEx>
                              <w:trPr>
                                <w:trHeight w:val="279" w:hRule="atLeast"/>
                              </w:trPr>
                              <w:tc>
                                <w:tcPr>
                                  <w:tcW w:type="dxa" w:w="7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w:t>
                                  </w:r>
                                </w:p>
                              </w:tc>
                              <w:tc>
                                <w:tcPr>
                                  <w:tcW w:type="dxa" w:w="404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cs="Arial Unicode MS" w:eastAsia="Arial Unicode MS"/>
                                      <w:rtl w:val="0"/>
                                      <w:lang w:val="en-US"/>
                                    </w:rPr>
                                    <w:t>Elevation</w:t>
                                  </w:r>
                                  <w:r>
                                    <w:rPr>
                                      <w:rFonts w:cs="Arial Unicode MS" w:eastAsia="Arial Unicode MS"/>
                                      <w:rtl w:val="0"/>
                                      <w:lang w:val="en-US"/>
                                    </w:rPr>
                                    <w:t>, e</w:t>
                                  </w:r>
                                  <w:r>
                                    <w:rPr>
                                      <w:rFonts w:cs="Arial Unicode MS" w:eastAsia="Arial Unicode MS"/>
                                      <w:rtl w:val="0"/>
                                      <w:lang w:val="it-IT"/>
                                    </w:rPr>
                                    <w:t>levatio</w:t>
                                  </w:r>
                                  <w:r>
                                    <w:rPr>
                                      <w:rFonts w:cs="Arial Unicode MS" w:eastAsia="Arial Unicode MS"/>
                                      <w:rtl w:val="0"/>
                                      <w:lang w:val="en-US"/>
                                    </w:rPr>
                                    <w:t>n</w:t>
                                  </w:r>
                                  <w:r>
                                    <w:rPr>
                                      <w:rFonts w:cs="Arial Unicode MS" w:eastAsia="Arial Unicode MS"/>
                                      <w:vertAlign w:val="superscript"/>
                                      <w:rtl w:val="0"/>
                                      <w:lang w:val="en-US"/>
                                    </w:rPr>
                                    <w:t>2</w:t>
                                  </w:r>
                                </w:p>
                              </w:tc>
                              <w:tc>
                                <w:tcPr>
                                  <w:tcW w:type="dxa" w:w="7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129.21</w:t>
                                  </w:r>
                                </w:p>
                              </w:tc>
                              <w:tc>
                                <w:tcPr>
                                  <w:tcW w:type="dxa" w:w="123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0.2</w:t>
                                  </w:r>
                                </w:p>
                              </w:tc>
                            </w:tr>
                            <w:tr>
                              <w:tblPrEx>
                                <w:shd w:val="clear" w:color="auto" w:fill="auto"/>
                              </w:tblPrEx>
                              <w:trPr>
                                <w:trHeight w:val="279" w:hRule="atLeast"/>
                              </w:trPr>
                              <w:tc>
                                <w:tcPr>
                                  <w:tcW w:type="dxa" w:w="7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4</w:t>
                                  </w:r>
                                </w:p>
                              </w:tc>
                              <w:tc>
                                <w:tcPr>
                                  <w:tcW w:type="dxa" w:w="404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Elevation</w:t>
                                  </w:r>
                                </w:p>
                              </w:tc>
                              <w:tc>
                                <w:tcPr>
                                  <w:tcW w:type="dxa" w:w="7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141.75</w:t>
                                  </w:r>
                                </w:p>
                              </w:tc>
                              <w:tc>
                                <w:tcPr>
                                  <w:tcW w:type="dxa" w:w="123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0.11</w:t>
                                  </w:r>
                                </w:p>
                              </w:tc>
                            </w:tr>
                            <w:tr>
                              <w:tblPrEx>
                                <w:shd w:val="clear" w:color="auto" w:fill="auto"/>
                              </w:tblPrEx>
                              <w:trPr>
                                <w:trHeight w:val="279" w:hRule="atLeast"/>
                              </w:trPr>
                              <w:tc>
                                <w:tcPr>
                                  <w:tcW w:type="dxa" w:w="7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5</w:t>
                                  </w:r>
                                </w:p>
                              </w:tc>
                              <w:tc>
                                <w:tcPr>
                                  <w:tcW w:type="dxa" w:w="404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Elevation, block</w:t>
                                  </w:r>
                                </w:p>
                              </w:tc>
                              <w:tc>
                                <w:tcPr>
                                  <w:tcW w:type="dxa" w:w="7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140.86</w:t>
                                  </w:r>
                                </w:p>
                              </w:tc>
                              <w:tc>
                                <w:tcPr>
                                  <w:tcW w:type="dxa" w:w="123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0.12</w:t>
                                  </w:r>
                                </w:p>
                              </w:tc>
                            </w:tr>
                            <w:tr>
                              <w:tblPrEx>
                                <w:shd w:val="clear" w:color="auto" w:fill="auto"/>
                              </w:tblPrEx>
                              <w:trPr>
                                <w:trHeight w:val="279" w:hRule="atLeast"/>
                              </w:trPr>
                              <w:tc>
                                <w:tcPr>
                                  <w:tcW w:type="dxa" w:w="7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6</w:t>
                                  </w:r>
                                </w:p>
                              </w:tc>
                              <w:tc>
                                <w:tcPr>
                                  <w:tcW w:type="dxa" w:w="404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cs="Arial Unicode MS" w:eastAsia="Arial Unicode MS"/>
                                      <w:rtl w:val="0"/>
                                      <w:lang w:val="en-US"/>
                                    </w:rPr>
                                    <w:t>Elevation, block, elevation</w:t>
                                  </w:r>
                                  <w:r>
                                    <w:rPr>
                                      <w:rFonts w:cs="Arial Unicode MS" w:eastAsia="Arial Unicode MS"/>
                                      <w:rtl w:val="0"/>
                                      <w:lang w:val="en-US"/>
                                    </w:rPr>
                                    <w:t xml:space="preserve"> </w:t>
                                  </w:r>
                                  <w:r>
                                    <w:rPr>
                                      <w:rFonts w:cs="Arial Unicode MS" w:eastAsia="Arial Unicode MS"/>
                                      <w:i w:val="1"/>
                                      <w:iCs w:val="1"/>
                                      <w:rtl w:val="0"/>
                                      <w:lang w:val="en-US"/>
                                    </w:rPr>
                                    <w:t>x</w:t>
                                  </w:r>
                                  <w:r>
                                    <w:rPr>
                                      <w:rFonts w:cs="Arial Unicode MS" w:eastAsia="Arial Unicode MS"/>
                                      <w:i w:val="1"/>
                                      <w:iCs w:val="1"/>
                                      <w:rtl w:val="0"/>
                                    </w:rPr>
                                    <w:t xml:space="preserve"> </w:t>
                                  </w:r>
                                  <w:r>
                                    <w:rPr>
                                      <w:rFonts w:cs="Arial Unicode MS" w:eastAsia="Arial Unicode MS"/>
                                      <w:rtl w:val="0"/>
                                      <w:lang w:val="en-US"/>
                                    </w:rPr>
                                    <w:t>block</w:t>
                                  </w:r>
                                </w:p>
                              </w:tc>
                              <w:tc>
                                <w:tcPr>
                                  <w:tcW w:type="dxa" w:w="7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142.78</w:t>
                                  </w:r>
                                </w:p>
                              </w:tc>
                              <w:tc>
                                <w:tcPr>
                                  <w:tcW w:type="dxa" w:w="123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0.13</w:t>
                                  </w:r>
                                </w:p>
                              </w:tc>
                            </w:tr>
                          </w:tbl>
                        </w:txbxContent>
                      </wps:txbx>
                      <wps:bodyPr lIns="0" tIns="0" rIns="0" bIns="0">
                        <a:spAutoFit/>
                      </wps:bodyPr>
                    </wps:wsp>
                  </a:graphicData>
                </a:graphic>
              </wp:anchor>
            </w:drawing>
          </mc:Choice>
          <mc:Fallback>
            <w:pict>
              <v:shape id="_x0000_s1026" type="#_x0000_t202" style="visibility:visible;position:absolute;margin-left:124.8pt;margin-top:103.0pt;width:467.8pt;height:153.6pt;z-index:251660288;mso-position-horizontal:absolute;mso-position-horizontal-relative:page;mso-position-vertical:absolute;mso-position-vertical-relative:page;mso-wrap-distance-left:12.0pt;mso-wrap-distance-top:12.0pt;mso-wrap-distance-right:12.0pt;mso-wrap-distance-bottom:12.0pt;">
                <v:fill on="f"/>
                <v:stroke on="f" weight="0.8pt" dashstyle="solid" endcap="flat" joinstyle="round" linestyle="single" startarrow="none" startarrowwidth="medium" startarrowlength="medium" endarrow="none" endarrowwidth="medium" endarrowlength="medium"/>
                <v:textbox>
                  <w:txbxContent>
                    <w:tbl>
                      <w:tblPr>
                        <w:tblW w:w="6841" w:type="dxa"/>
                        <w:tblInd w:w="2"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770"/>
                        <w:gridCol w:w="4048"/>
                        <w:gridCol w:w="791"/>
                        <w:gridCol w:w="1232"/>
                      </w:tblGrid>
                      <w:tr>
                        <w:tblPrEx>
                          <w:shd w:val="clear" w:color="auto" w:fill="auto"/>
                        </w:tblPrEx>
                        <w:trPr>
                          <w:trHeight w:val="279" w:hRule="atLeast"/>
                        </w:trPr>
                        <w:tc>
                          <w:tcPr>
                            <w:tcW w:type="dxa" w:w="7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Model</w:t>
                            </w:r>
                          </w:p>
                        </w:tc>
                        <w:tc>
                          <w:tcPr>
                            <w:tcW w:type="dxa" w:w="404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Factors</w:t>
                            </w:r>
                          </w:p>
                        </w:tc>
                        <w:tc>
                          <w:tcPr>
                            <w:tcW w:type="dxa" w:w="7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AIC</w:t>
                            </w:r>
                          </w:p>
                        </w:tc>
                        <w:tc>
                          <w:tcPr>
                            <w:tcW w:type="dxa" w:w="123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cs="Arial Unicode MS" w:eastAsia="Arial Unicode MS"/>
                                <w:rtl w:val="0"/>
                                <w:lang w:val="de-DE"/>
                              </w:rPr>
                              <w:t>Pseudo R</w:t>
                            </w:r>
                            <w:r>
                              <w:rPr>
                                <w:rFonts w:cs="Arial Unicode MS" w:eastAsia="Arial Unicode MS"/>
                                <w:vertAlign w:val="superscript"/>
                                <w:rtl w:val="0"/>
                              </w:rPr>
                              <w:t>2</w:t>
                            </w:r>
                          </w:p>
                        </w:tc>
                      </w:tr>
                      <w:tr>
                        <w:tblPrEx>
                          <w:shd w:val="clear" w:color="auto" w:fill="auto"/>
                        </w:tblPrEx>
                        <w:trPr>
                          <w:trHeight w:val="279" w:hRule="atLeast"/>
                        </w:trPr>
                        <w:tc>
                          <w:tcPr>
                            <w:tcW w:type="dxa" w:w="7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w:t>
                            </w:r>
                          </w:p>
                        </w:tc>
                        <w:tc>
                          <w:tcPr>
                            <w:tcW w:type="dxa" w:w="404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cs="Arial Unicode MS" w:eastAsia="Arial Unicode MS"/>
                                <w:rtl w:val="0"/>
                                <w:lang w:val="en-US"/>
                              </w:rPr>
                              <w:t>Elevation</w:t>
                            </w:r>
                            <w:r>
                              <w:rPr>
                                <w:rFonts w:cs="Arial Unicode MS" w:eastAsia="Arial Unicode MS"/>
                                <w:rtl w:val="0"/>
                                <w:lang w:val="en-US"/>
                              </w:rPr>
                              <w:t>, e</w:t>
                            </w:r>
                            <w:r>
                              <w:rPr>
                                <w:rFonts w:cs="Arial Unicode MS" w:eastAsia="Arial Unicode MS"/>
                                <w:rtl w:val="0"/>
                                <w:lang w:val="it-IT"/>
                              </w:rPr>
                              <w:t>levatio</w:t>
                            </w:r>
                            <w:r>
                              <w:rPr>
                                <w:rFonts w:cs="Arial Unicode MS" w:eastAsia="Arial Unicode MS"/>
                                <w:rtl w:val="0"/>
                                <w:lang w:val="en-US"/>
                              </w:rPr>
                              <w:t>n</w:t>
                            </w:r>
                            <w:r>
                              <w:rPr>
                                <w:rFonts w:cs="Arial Unicode MS" w:eastAsia="Arial Unicode MS"/>
                                <w:vertAlign w:val="superscript"/>
                                <w:rtl w:val="0"/>
                                <w:lang w:val="en-US"/>
                              </w:rPr>
                              <w:t>2</w:t>
                            </w:r>
                            <w:r>
                              <w:rPr>
                                <w:rFonts w:cs="Arial Unicode MS" w:eastAsia="Arial Unicode MS"/>
                                <w:rtl w:val="0"/>
                              </w:rPr>
                              <w:t xml:space="preserve">, </w:t>
                            </w:r>
                            <w:r>
                              <w:rPr>
                                <w:rFonts w:cs="Arial Unicode MS" w:eastAsia="Arial Unicode MS"/>
                                <w:rtl w:val="0"/>
                                <w:lang w:val="en-US"/>
                              </w:rPr>
                              <w:t>b</w:t>
                            </w:r>
                            <w:r>
                              <w:rPr>
                                <w:rFonts w:cs="Arial Unicode MS" w:eastAsia="Arial Unicode MS"/>
                                <w:rtl w:val="0"/>
                                <w:lang w:val="en-US"/>
                              </w:rPr>
                              <w:t>lock</w:t>
                            </w:r>
                          </w:p>
                        </w:tc>
                        <w:tc>
                          <w:tcPr>
                            <w:tcW w:type="dxa" w:w="7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125.5</w:t>
                            </w:r>
                          </w:p>
                        </w:tc>
                        <w:tc>
                          <w:tcPr>
                            <w:tcW w:type="dxa" w:w="123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0.24</w:t>
                            </w:r>
                          </w:p>
                        </w:tc>
                      </w:tr>
                      <w:tr>
                        <w:tblPrEx>
                          <w:shd w:val="clear" w:color="auto" w:fill="auto"/>
                        </w:tblPrEx>
                        <w:trPr>
                          <w:trHeight w:val="485" w:hRule="atLeast"/>
                        </w:trPr>
                        <w:tc>
                          <w:tcPr>
                            <w:tcW w:type="dxa" w:w="7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w:t>
                            </w:r>
                          </w:p>
                        </w:tc>
                        <w:tc>
                          <w:tcPr>
                            <w:tcW w:type="dxa" w:w="404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cs="Arial Unicode MS" w:eastAsia="Arial Unicode MS"/>
                                <w:rtl w:val="0"/>
                                <w:lang w:val="en-US"/>
                              </w:rPr>
                              <w:t>Elevation</w:t>
                            </w:r>
                            <w:r>
                              <w:rPr>
                                <w:rFonts w:cs="Arial Unicode MS" w:eastAsia="Arial Unicode MS"/>
                                <w:rtl w:val="0"/>
                                <w:lang w:val="en-US"/>
                              </w:rPr>
                              <w:t>, e</w:t>
                            </w:r>
                            <w:r>
                              <w:rPr>
                                <w:rFonts w:cs="Arial Unicode MS" w:eastAsia="Arial Unicode MS"/>
                                <w:rtl w:val="0"/>
                                <w:lang w:val="it-IT"/>
                              </w:rPr>
                              <w:t>levatio</w:t>
                            </w:r>
                            <w:r>
                              <w:rPr>
                                <w:rFonts w:cs="Arial Unicode MS" w:eastAsia="Arial Unicode MS"/>
                                <w:rtl w:val="0"/>
                                <w:lang w:val="en-US"/>
                              </w:rPr>
                              <w:t>n</w:t>
                            </w:r>
                            <w:r>
                              <w:rPr>
                                <w:rFonts w:cs="Arial Unicode MS" w:eastAsia="Arial Unicode MS"/>
                                <w:vertAlign w:val="superscript"/>
                                <w:rtl w:val="0"/>
                                <w:lang w:val="en-US"/>
                              </w:rPr>
                              <w:t>2</w:t>
                            </w:r>
                            <w:r>
                              <w:rPr>
                                <w:rFonts w:cs="Arial Unicode MS" w:eastAsia="Arial Unicode MS"/>
                                <w:rtl w:val="0"/>
                              </w:rPr>
                              <w:t xml:space="preserve">, </w:t>
                            </w:r>
                            <w:r>
                              <w:rPr>
                                <w:rFonts w:cs="Arial Unicode MS" w:eastAsia="Arial Unicode MS"/>
                                <w:rtl w:val="0"/>
                                <w:lang w:val="en-US"/>
                              </w:rPr>
                              <w:t>b</w:t>
                            </w:r>
                            <w:r>
                              <w:rPr>
                                <w:rFonts w:cs="Arial Unicode MS" w:eastAsia="Arial Unicode MS"/>
                                <w:rtl w:val="0"/>
                                <w:lang w:val="en-US"/>
                              </w:rPr>
                              <w:t xml:space="preserve">lock, </w:t>
                            </w:r>
                            <w:r>
                              <w:rPr>
                                <w:rFonts w:cs="Arial Unicode MS" w:eastAsia="Arial Unicode MS"/>
                                <w:rtl w:val="0"/>
                                <w:lang w:val="en-US"/>
                              </w:rPr>
                              <w:t>e</w:t>
                            </w:r>
                            <w:r>
                              <w:rPr>
                                <w:rFonts w:cs="Arial Unicode MS" w:eastAsia="Arial Unicode MS"/>
                                <w:rtl w:val="0"/>
                                <w:lang w:val="it-IT"/>
                              </w:rPr>
                              <w:t>levatio</w:t>
                            </w:r>
                            <w:r>
                              <w:rPr>
                                <w:rFonts w:cs="Arial Unicode MS" w:eastAsia="Arial Unicode MS"/>
                                <w:rtl w:val="0"/>
                                <w:lang w:val="en-US"/>
                              </w:rPr>
                              <w:t>n</w:t>
                            </w:r>
                            <w:r>
                              <w:rPr>
                                <w:rFonts w:cs="Arial Unicode MS" w:eastAsia="Arial Unicode MS"/>
                                <w:vertAlign w:val="superscript"/>
                                <w:rtl w:val="0"/>
                                <w:lang w:val="en-US"/>
                              </w:rPr>
                              <w:t>2</w:t>
                            </w:r>
                            <w:r>
                              <w:rPr>
                                <w:rFonts w:cs="Arial Unicode MS" w:eastAsia="Arial Unicode MS"/>
                                <w:rtl w:val="0"/>
                                <w:lang w:val="en-US"/>
                              </w:rPr>
                              <w:t xml:space="preserve"> </w:t>
                            </w:r>
                            <w:r>
                              <w:rPr>
                                <w:rFonts w:cs="Arial Unicode MS" w:eastAsia="Arial Unicode MS"/>
                                <w:i w:val="1"/>
                                <w:iCs w:val="1"/>
                                <w:rtl w:val="0"/>
                                <w:lang w:val="en-US"/>
                              </w:rPr>
                              <w:t>x</w:t>
                            </w:r>
                            <w:r>
                              <w:rPr>
                                <w:rFonts w:cs="Arial Unicode MS" w:eastAsia="Arial Unicode MS"/>
                                <w:rtl w:val="0"/>
                                <w:lang w:val="en-US"/>
                              </w:rPr>
                              <w:t xml:space="preserve"> b</w:t>
                            </w:r>
                            <w:r>
                              <w:rPr>
                                <w:rFonts w:cs="Arial Unicode MS" w:eastAsia="Arial Unicode MS"/>
                                <w:rtl w:val="0"/>
                                <w:lang w:val="en-US"/>
                              </w:rPr>
                              <w:t>lock</w:t>
                            </w:r>
                          </w:p>
                        </w:tc>
                        <w:tc>
                          <w:tcPr>
                            <w:tcW w:type="dxa" w:w="7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127.4</w:t>
                            </w:r>
                          </w:p>
                        </w:tc>
                        <w:tc>
                          <w:tcPr>
                            <w:tcW w:type="dxa" w:w="123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0.24</w:t>
                            </w:r>
                          </w:p>
                        </w:tc>
                      </w:tr>
                      <w:tr>
                        <w:tblPrEx>
                          <w:shd w:val="clear" w:color="auto" w:fill="auto"/>
                        </w:tblPrEx>
                        <w:trPr>
                          <w:trHeight w:val="279" w:hRule="atLeast"/>
                        </w:trPr>
                        <w:tc>
                          <w:tcPr>
                            <w:tcW w:type="dxa" w:w="7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w:t>
                            </w:r>
                          </w:p>
                        </w:tc>
                        <w:tc>
                          <w:tcPr>
                            <w:tcW w:type="dxa" w:w="404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cs="Arial Unicode MS" w:eastAsia="Arial Unicode MS"/>
                                <w:rtl w:val="0"/>
                                <w:lang w:val="en-US"/>
                              </w:rPr>
                              <w:t>Elevation</w:t>
                            </w:r>
                            <w:r>
                              <w:rPr>
                                <w:rFonts w:cs="Arial Unicode MS" w:eastAsia="Arial Unicode MS"/>
                                <w:rtl w:val="0"/>
                                <w:lang w:val="en-US"/>
                              </w:rPr>
                              <w:t>, e</w:t>
                            </w:r>
                            <w:r>
                              <w:rPr>
                                <w:rFonts w:cs="Arial Unicode MS" w:eastAsia="Arial Unicode MS"/>
                                <w:rtl w:val="0"/>
                                <w:lang w:val="it-IT"/>
                              </w:rPr>
                              <w:t>levatio</w:t>
                            </w:r>
                            <w:r>
                              <w:rPr>
                                <w:rFonts w:cs="Arial Unicode MS" w:eastAsia="Arial Unicode MS"/>
                                <w:rtl w:val="0"/>
                                <w:lang w:val="en-US"/>
                              </w:rPr>
                              <w:t>n</w:t>
                            </w:r>
                            <w:r>
                              <w:rPr>
                                <w:rFonts w:cs="Arial Unicode MS" w:eastAsia="Arial Unicode MS"/>
                                <w:vertAlign w:val="superscript"/>
                                <w:rtl w:val="0"/>
                                <w:lang w:val="en-US"/>
                              </w:rPr>
                              <w:t>2</w:t>
                            </w:r>
                          </w:p>
                        </w:tc>
                        <w:tc>
                          <w:tcPr>
                            <w:tcW w:type="dxa" w:w="7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129.21</w:t>
                            </w:r>
                          </w:p>
                        </w:tc>
                        <w:tc>
                          <w:tcPr>
                            <w:tcW w:type="dxa" w:w="123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0.2</w:t>
                            </w:r>
                          </w:p>
                        </w:tc>
                      </w:tr>
                      <w:tr>
                        <w:tblPrEx>
                          <w:shd w:val="clear" w:color="auto" w:fill="auto"/>
                        </w:tblPrEx>
                        <w:trPr>
                          <w:trHeight w:val="279" w:hRule="atLeast"/>
                        </w:trPr>
                        <w:tc>
                          <w:tcPr>
                            <w:tcW w:type="dxa" w:w="7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4</w:t>
                            </w:r>
                          </w:p>
                        </w:tc>
                        <w:tc>
                          <w:tcPr>
                            <w:tcW w:type="dxa" w:w="404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Elevation</w:t>
                            </w:r>
                          </w:p>
                        </w:tc>
                        <w:tc>
                          <w:tcPr>
                            <w:tcW w:type="dxa" w:w="7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141.75</w:t>
                            </w:r>
                          </w:p>
                        </w:tc>
                        <w:tc>
                          <w:tcPr>
                            <w:tcW w:type="dxa" w:w="123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0.11</w:t>
                            </w:r>
                          </w:p>
                        </w:tc>
                      </w:tr>
                      <w:tr>
                        <w:tblPrEx>
                          <w:shd w:val="clear" w:color="auto" w:fill="auto"/>
                        </w:tblPrEx>
                        <w:trPr>
                          <w:trHeight w:val="279" w:hRule="atLeast"/>
                        </w:trPr>
                        <w:tc>
                          <w:tcPr>
                            <w:tcW w:type="dxa" w:w="7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5</w:t>
                            </w:r>
                          </w:p>
                        </w:tc>
                        <w:tc>
                          <w:tcPr>
                            <w:tcW w:type="dxa" w:w="404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Elevation, block</w:t>
                            </w:r>
                          </w:p>
                        </w:tc>
                        <w:tc>
                          <w:tcPr>
                            <w:tcW w:type="dxa" w:w="7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140.86</w:t>
                            </w:r>
                          </w:p>
                        </w:tc>
                        <w:tc>
                          <w:tcPr>
                            <w:tcW w:type="dxa" w:w="123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0.12</w:t>
                            </w:r>
                          </w:p>
                        </w:tc>
                      </w:tr>
                      <w:tr>
                        <w:tblPrEx>
                          <w:shd w:val="clear" w:color="auto" w:fill="auto"/>
                        </w:tblPrEx>
                        <w:trPr>
                          <w:trHeight w:val="279" w:hRule="atLeast"/>
                        </w:trPr>
                        <w:tc>
                          <w:tcPr>
                            <w:tcW w:type="dxa" w:w="7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6</w:t>
                            </w:r>
                          </w:p>
                        </w:tc>
                        <w:tc>
                          <w:tcPr>
                            <w:tcW w:type="dxa" w:w="404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cs="Arial Unicode MS" w:eastAsia="Arial Unicode MS"/>
                                <w:rtl w:val="0"/>
                                <w:lang w:val="en-US"/>
                              </w:rPr>
                              <w:t>Elevation, block, elevation</w:t>
                            </w:r>
                            <w:r>
                              <w:rPr>
                                <w:rFonts w:cs="Arial Unicode MS" w:eastAsia="Arial Unicode MS"/>
                                <w:rtl w:val="0"/>
                                <w:lang w:val="en-US"/>
                              </w:rPr>
                              <w:t xml:space="preserve"> </w:t>
                            </w:r>
                            <w:r>
                              <w:rPr>
                                <w:rFonts w:cs="Arial Unicode MS" w:eastAsia="Arial Unicode MS"/>
                                <w:i w:val="1"/>
                                <w:iCs w:val="1"/>
                                <w:rtl w:val="0"/>
                                <w:lang w:val="en-US"/>
                              </w:rPr>
                              <w:t>x</w:t>
                            </w:r>
                            <w:r>
                              <w:rPr>
                                <w:rFonts w:cs="Arial Unicode MS" w:eastAsia="Arial Unicode MS"/>
                                <w:i w:val="1"/>
                                <w:iCs w:val="1"/>
                                <w:rtl w:val="0"/>
                              </w:rPr>
                              <w:t xml:space="preserve"> </w:t>
                            </w:r>
                            <w:r>
                              <w:rPr>
                                <w:rFonts w:cs="Arial Unicode MS" w:eastAsia="Arial Unicode MS"/>
                                <w:rtl w:val="0"/>
                                <w:lang w:val="en-US"/>
                              </w:rPr>
                              <w:t>block</w:t>
                            </w:r>
                          </w:p>
                        </w:tc>
                        <w:tc>
                          <w:tcPr>
                            <w:tcW w:type="dxa" w:w="7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142.78</w:t>
                            </w:r>
                          </w:p>
                        </w:tc>
                        <w:tc>
                          <w:tcPr>
                            <w:tcW w:type="dxa" w:w="123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0.13</w:t>
                            </w:r>
                          </w:p>
                        </w:tc>
                      </w:tr>
                    </w:tbl>
                  </w:txbxContent>
                </v:textbox>
                <w10:wrap type="topAndBottom" side="bothSides" anchorx="page" anchory="page"/>
              </v:shape>
            </w:pict>
          </mc:Fallback>
        </mc:AlternateContent>
      </w:r>
      <w:r>
        <w:rPr>
          <w:rFonts w:ascii="Times New Roman" w:hAnsi="Times New Roman"/>
          <w:sz w:val="24"/>
          <w:szCs w:val="24"/>
          <w:u w:color="000000"/>
          <w:rtl w:val="0"/>
          <w:lang w:val="en-US"/>
        </w:rPr>
        <w:t>erage salinities (ppt) along the Ashley River, calculated from May - September 2015.</w:t>
      </w:r>
    </w:p>
    <w:p>
      <w:pPr>
        <w:pStyle w:val="Body"/>
        <w:bidi w:val="0"/>
        <w:spacing w:line="480" w:lineRule="auto"/>
        <w:ind w:left="0" w:right="0" w:firstLine="720"/>
        <w:jc w:val="left"/>
        <w:rPr>
          <w:rFonts w:ascii="Times New Roman" w:cs="Times New Roman" w:hAnsi="Times New Roman" w:eastAsia="Times New Roman"/>
          <w:sz w:val="24"/>
          <w:szCs w:val="24"/>
          <w:u w:color="000000"/>
          <w:rtl w:val="0"/>
        </w:rPr>
      </w:pPr>
      <w:r>
        <w:rPr>
          <w:rFonts w:ascii="Times New Roman" w:cs="Times New Roman" w:hAnsi="Times New Roman" w:eastAsia="Times New Roman"/>
          <w:sz w:val="24"/>
          <w:szCs w:val="24"/>
          <w:u w:color="000000"/>
          <w:rtl w:val="0"/>
        </w:rPr>
        <w:drawing>
          <wp:anchor distT="152400" distB="152400" distL="152400" distR="152400" simplePos="0" relativeHeight="251661312" behindDoc="0" locked="0" layoutInCell="1" allowOverlap="1">
            <wp:simplePos x="0" y="0"/>
            <wp:positionH relativeFrom="margin">
              <wp:posOffset>-6350</wp:posOffset>
            </wp:positionH>
            <wp:positionV relativeFrom="page">
              <wp:posOffset>1168400</wp:posOffset>
            </wp:positionV>
            <wp:extent cx="5651699" cy="3746497"/>
            <wp:effectExtent l="0" t="0" r="0" b="0"/>
            <wp:wrapThrough wrapText="bothSides" distL="152400" distR="152400">
              <wp:wrapPolygon edited="1">
                <wp:start x="0" y="0"/>
                <wp:lineTo x="0" y="21600"/>
                <wp:lineTo x="21601" y="21600"/>
                <wp:lineTo x="21601" y="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Elevation.png"/>
                    <pic:cNvPicPr>
                      <a:picLocks noChangeAspect="1"/>
                    </pic:cNvPicPr>
                  </pic:nvPicPr>
                  <pic:blipFill>
                    <a:blip r:embed="rId5">
                      <a:extLst/>
                    </a:blip>
                    <a:srcRect l="0" t="13394" r="4911" b="3196"/>
                    <a:stretch>
                      <a:fillRect/>
                    </a:stretch>
                  </pic:blipFill>
                  <pic:spPr>
                    <a:xfrm>
                      <a:off x="0" y="0"/>
                      <a:ext cx="5651699" cy="3746497"/>
                    </a:xfrm>
                    <a:prstGeom prst="rect">
                      <a:avLst/>
                    </a:prstGeom>
                    <a:ln w="12700" cap="flat">
                      <a:noFill/>
                      <a:miter lim="400000"/>
                    </a:ln>
                    <a:effectLst/>
                  </pic:spPr>
                </pic:pic>
              </a:graphicData>
            </a:graphic>
          </wp:anchor>
        </w:drawing>
      </w:r>
    </w:p>
    <w:p>
      <w:pPr>
        <w:pStyle w:val="Body"/>
        <w:bidi w:val="0"/>
        <w:spacing w:line="480" w:lineRule="auto"/>
        <w:ind w:left="0" w:right="0" w:firstLine="720"/>
        <w:jc w:val="left"/>
        <w:rPr>
          <w:rFonts w:ascii="Times New Roman" w:cs="Times New Roman" w:hAnsi="Times New Roman" w:eastAsia="Times New Roman"/>
          <w:sz w:val="24"/>
          <w:szCs w:val="24"/>
          <w:u w:color="000000"/>
          <w:rtl w:val="0"/>
        </w:rPr>
      </w:pPr>
      <w:r>
        <w:rPr>
          <w:rFonts w:ascii="Times New Roman" w:hAnsi="Times New Roman"/>
          <w:sz w:val="24"/>
          <w:szCs w:val="24"/>
          <w:u w:color="000000"/>
          <w:rtl w:val="0"/>
          <w:lang w:val="en-US"/>
        </w:rPr>
        <w:t xml:space="preserve">Figure 2. The relationship between the probability of </w:t>
      </w:r>
      <w:r>
        <w:rPr>
          <w:rFonts w:ascii="Times New Roman" w:hAnsi="Times New Roman"/>
          <w:i w:val="1"/>
          <w:iCs w:val="1"/>
          <w:sz w:val="24"/>
          <w:szCs w:val="24"/>
          <w:u w:color="000000"/>
          <w:rtl w:val="0"/>
          <w:lang w:val="en-US"/>
        </w:rPr>
        <w:t xml:space="preserve">G. demissa </w:t>
      </w:r>
      <w:r>
        <w:rPr>
          <w:rFonts w:ascii="Times New Roman" w:hAnsi="Times New Roman"/>
          <w:sz w:val="24"/>
          <w:szCs w:val="24"/>
          <w:u w:color="000000"/>
          <w:rtl w:val="0"/>
          <w:lang w:val="en-US"/>
        </w:rPr>
        <w:t>occurrence and elevation (m) within two different salinity regimes (ppt). Lines represent values predicted by the most likely model. Red indicates the higher salinity block (20-25 ppt), while black indicates the lower salinity block (15-20 ppt).  N = 120.</w:t>
      </w:r>
    </w:p>
    <w:p>
      <w:pPr>
        <w:pStyle w:val="Body"/>
        <w:bidi w:val="0"/>
        <w:spacing w:line="480" w:lineRule="auto"/>
        <w:ind w:left="0" w:right="0" w:firstLine="720"/>
        <w:jc w:val="left"/>
        <w:rPr>
          <w:rFonts w:ascii="Times New Roman" w:cs="Times New Roman" w:hAnsi="Times New Roman" w:eastAsia="Times New Roman"/>
          <w:sz w:val="24"/>
          <w:szCs w:val="24"/>
          <w:u w:color="000000"/>
          <w:rtl w:val="0"/>
        </w:rPr>
      </w:pPr>
    </w:p>
    <w:p>
      <w:pPr>
        <w:pStyle w:val="Body"/>
        <w:bidi w:val="0"/>
        <w:spacing w:line="480" w:lineRule="auto"/>
        <w:ind w:left="0" w:right="0" w:firstLine="720"/>
        <w:jc w:val="left"/>
        <w:rPr>
          <w:rFonts w:ascii="Times New Roman" w:cs="Times New Roman" w:hAnsi="Times New Roman" w:eastAsia="Times New Roman"/>
          <w:sz w:val="24"/>
          <w:szCs w:val="24"/>
          <w:u w:color="000000"/>
          <w:rtl w:val="0"/>
        </w:rPr>
      </w:pPr>
    </w:p>
    <w:p>
      <w:pPr>
        <w:pStyle w:val="Body"/>
        <w:bidi w:val="0"/>
        <w:spacing w:line="480" w:lineRule="auto"/>
        <w:ind w:left="0" w:right="0" w:firstLine="720"/>
        <w:jc w:val="left"/>
        <w:rPr>
          <w:rFonts w:ascii="Times New Roman" w:cs="Times New Roman" w:hAnsi="Times New Roman" w:eastAsia="Times New Roman"/>
          <w:sz w:val="24"/>
          <w:szCs w:val="24"/>
          <w:u w:color="000000"/>
          <w:rtl w:val="0"/>
        </w:rPr>
      </w:pPr>
    </w:p>
    <w:p>
      <w:pPr>
        <w:pStyle w:val="Body"/>
        <w:bidi w:val="0"/>
        <w:spacing w:line="480" w:lineRule="auto"/>
        <w:ind w:left="0" w:right="0" w:firstLine="720"/>
        <w:jc w:val="left"/>
        <w:rPr>
          <w:rFonts w:ascii="Times New Roman" w:cs="Times New Roman" w:hAnsi="Times New Roman" w:eastAsia="Times New Roman"/>
          <w:sz w:val="24"/>
          <w:szCs w:val="24"/>
          <w:u w:color="000000"/>
          <w:rtl w:val="0"/>
        </w:rPr>
      </w:pPr>
    </w:p>
    <w:p>
      <w:pPr>
        <w:pStyle w:val="Body"/>
        <w:bidi w:val="0"/>
        <w:spacing w:line="480" w:lineRule="auto"/>
        <w:ind w:left="0" w:right="0" w:firstLine="720"/>
        <w:jc w:val="left"/>
        <w:rPr>
          <w:rFonts w:ascii="Times New Roman" w:cs="Times New Roman" w:hAnsi="Times New Roman" w:eastAsia="Times New Roman"/>
          <w:sz w:val="24"/>
          <w:szCs w:val="24"/>
          <w:u w:color="000000"/>
          <w:rtl w:val="0"/>
        </w:rPr>
      </w:pPr>
    </w:p>
    <w:p>
      <w:pPr>
        <w:pStyle w:val="Body"/>
        <w:bidi w:val="0"/>
        <w:spacing w:line="480" w:lineRule="auto"/>
        <w:ind w:left="0" w:right="0" w:firstLine="720"/>
        <w:jc w:val="left"/>
        <w:rPr>
          <w:rFonts w:ascii="Times New Roman" w:cs="Times New Roman" w:hAnsi="Times New Roman" w:eastAsia="Times New Roman"/>
          <w:sz w:val="24"/>
          <w:szCs w:val="24"/>
          <w:u w:color="000000"/>
          <w:rtl w:val="0"/>
        </w:rPr>
      </w:pPr>
    </w:p>
    <w:p>
      <w:pPr>
        <w:pStyle w:val="Body"/>
        <w:bidi w:val="0"/>
        <w:spacing w:line="480" w:lineRule="auto"/>
        <w:ind w:left="0" w:right="0" w:firstLine="0"/>
        <w:jc w:val="left"/>
        <w:rPr>
          <w:rFonts w:ascii="Times New Roman" w:cs="Times New Roman" w:hAnsi="Times New Roman" w:eastAsia="Times New Roman"/>
          <w:sz w:val="24"/>
          <w:szCs w:val="24"/>
          <w:u w:color="000000"/>
          <w:rtl w:val="0"/>
        </w:rPr>
      </w:pPr>
      <w:r>
        <w:rPr>
          <w:rFonts w:ascii="Times New Roman" w:hAnsi="Times New Roman"/>
          <w:sz w:val="24"/>
          <w:szCs w:val="24"/>
          <w:u w:color="000000"/>
          <w:rtl w:val="0"/>
          <w:lang w:val="en-US"/>
        </w:rPr>
        <w:t>References</w:t>
      </w:r>
    </w:p>
    <w:p>
      <w:pPr>
        <w:pStyle w:val="Body"/>
        <w:bidi w:val="0"/>
        <w:ind w:left="720" w:right="0" w:hanging="720"/>
        <w:jc w:val="left"/>
        <w:rPr>
          <w:rFonts w:ascii="Times New Roman" w:cs="Times New Roman" w:hAnsi="Times New Roman" w:eastAsia="Times New Roman"/>
          <w:sz w:val="24"/>
          <w:szCs w:val="24"/>
          <w:u w:color="000000"/>
          <w:rtl w:val="0"/>
        </w:rPr>
      </w:pPr>
      <w:r>
        <w:rPr>
          <w:rFonts w:ascii="Times New Roman" w:hAnsi="Times New Roman"/>
          <w:sz w:val="24"/>
          <w:szCs w:val="24"/>
          <w:u w:color="000000"/>
          <w:rtl w:val="0"/>
          <w:lang w:val="en-US"/>
        </w:rPr>
        <w:t>A</w:t>
      </w:r>
      <w:r>
        <w:rPr>
          <w:rFonts w:ascii="Times New Roman" w:hAnsi="Times New Roman"/>
          <w:sz w:val="24"/>
          <w:szCs w:val="24"/>
          <w:u w:color="000000"/>
          <w:rtl w:val="0"/>
          <w:lang w:val="en-US"/>
        </w:rPr>
        <w:t xml:space="preserve">ltieri, A.H., B.R. Silliman, and M.D. Bertness. 2007. Hierarchical organization via a facilitation cascade in intertidal cordgrass bed communities.  </w:t>
      </w:r>
      <w:r>
        <w:rPr>
          <w:rFonts w:ascii="Times New Roman" w:hAnsi="Times New Roman"/>
          <w:i w:val="1"/>
          <w:iCs w:val="1"/>
          <w:sz w:val="24"/>
          <w:szCs w:val="24"/>
          <w:u w:color="000000"/>
          <w:rtl w:val="0"/>
          <w:lang w:val="en-US"/>
        </w:rPr>
        <w:t>The American Naturalist</w:t>
      </w:r>
      <w:r>
        <w:rPr>
          <w:rFonts w:ascii="Times New Roman" w:hAnsi="Times New Roman"/>
          <w:sz w:val="24"/>
          <w:szCs w:val="24"/>
          <w:u w:color="000000"/>
          <w:rtl w:val="0"/>
        </w:rPr>
        <w:t xml:space="preserve"> 169:195-206.</w:t>
      </w:r>
    </w:p>
    <w:p>
      <w:pPr>
        <w:pStyle w:val="Body"/>
        <w:bidi w:val="0"/>
        <w:ind w:left="720" w:right="0" w:hanging="720"/>
        <w:jc w:val="left"/>
        <w:rPr>
          <w:rFonts w:ascii="Times New Roman" w:cs="Times New Roman" w:hAnsi="Times New Roman" w:eastAsia="Times New Roman"/>
          <w:sz w:val="24"/>
          <w:szCs w:val="24"/>
          <w:u w:color="000000"/>
          <w:rtl w:val="0"/>
        </w:rPr>
      </w:pPr>
    </w:p>
    <w:p>
      <w:pPr>
        <w:pStyle w:val="Body"/>
        <w:bidi w:val="0"/>
        <w:ind w:left="720" w:right="0" w:hanging="720"/>
        <w:jc w:val="left"/>
        <w:rPr>
          <w:rFonts w:ascii="Times New Roman" w:cs="Times New Roman" w:hAnsi="Times New Roman" w:eastAsia="Times New Roman"/>
          <w:sz w:val="24"/>
          <w:szCs w:val="24"/>
          <w:u w:color="000000"/>
          <w:rtl w:val="0"/>
        </w:rPr>
      </w:pPr>
      <w:r>
        <w:rPr>
          <w:rFonts w:ascii="Times New Roman" w:hAnsi="Times New Roman"/>
          <w:sz w:val="24"/>
          <w:szCs w:val="24"/>
          <w:u w:color="000000"/>
          <w:rtl w:val="0"/>
          <w:lang w:val="nl-NL"/>
        </w:rPr>
        <w:t>Angelini, C., T. Heide, J.N. Griffin, J.P. Morton, M. Derksen-Hooijberg, L.P.M. Lamers, A.J.P. Smolders, and B.R. Silliman. 2015.  Foundation species</w:t>
      </w:r>
      <w:r>
        <w:rPr>
          <w:rFonts w:ascii="Times New Roman" w:hAnsi="Times New Roman" w:hint="default"/>
          <w:sz w:val="24"/>
          <w:szCs w:val="24"/>
          <w:u w:color="000000"/>
          <w:rtl w:val="0"/>
          <w:lang w:val="en-US"/>
        </w:rPr>
        <w:t xml:space="preserve">’ </w:t>
      </w:r>
      <w:r>
        <w:rPr>
          <w:rFonts w:ascii="Times New Roman" w:hAnsi="Times New Roman"/>
          <w:sz w:val="24"/>
          <w:szCs w:val="24"/>
          <w:u w:color="000000"/>
          <w:rtl w:val="0"/>
          <w:lang w:val="en-US"/>
        </w:rPr>
        <w:t xml:space="preserve">overlap enhances biodiversity and multifunctionality from the patch to landscape scale in southeastern United States salt marshes.  </w:t>
      </w:r>
      <w:r>
        <w:rPr>
          <w:rFonts w:ascii="Times New Roman" w:hAnsi="Times New Roman"/>
          <w:i w:val="1"/>
          <w:iCs w:val="1"/>
          <w:sz w:val="24"/>
          <w:szCs w:val="24"/>
          <w:u w:color="000000"/>
          <w:rtl w:val="0"/>
          <w:lang w:val="en-US"/>
        </w:rPr>
        <w:t>Proceedings of the Royal Society of London B</w:t>
      </w:r>
      <w:r>
        <w:rPr>
          <w:rFonts w:ascii="Times New Roman" w:hAnsi="Times New Roman"/>
          <w:sz w:val="24"/>
          <w:szCs w:val="24"/>
          <w:u w:color="000000"/>
          <w:rtl w:val="0"/>
        </w:rPr>
        <w:t xml:space="preserve"> 282:</w:t>
      </w:r>
      <w:r>
        <w:rPr>
          <w:rFonts w:ascii="Times New Roman" w:hAnsi="Times New Roman"/>
          <w:color w:val="333333"/>
          <w:sz w:val="24"/>
          <w:szCs w:val="24"/>
          <w:u w:color="333333"/>
          <w:shd w:val="clear" w:color="auto" w:fill="ffffff"/>
          <w:rtl w:val="0"/>
        </w:rPr>
        <w:t>20150421</w:t>
      </w:r>
      <w:r>
        <w:rPr>
          <w:rFonts w:ascii="Times New Roman" w:hAnsi="Times New Roman"/>
          <w:sz w:val="24"/>
          <w:szCs w:val="24"/>
          <w:u w:color="000000"/>
          <w:rtl w:val="0"/>
        </w:rPr>
        <w:t>.</w:t>
      </w:r>
    </w:p>
    <w:p>
      <w:pPr>
        <w:pStyle w:val="Body"/>
        <w:bidi w:val="0"/>
        <w:ind w:left="0" w:right="0" w:firstLine="0"/>
        <w:jc w:val="left"/>
        <w:rPr>
          <w:rFonts w:ascii="Times New Roman" w:cs="Times New Roman" w:hAnsi="Times New Roman" w:eastAsia="Times New Roman"/>
          <w:sz w:val="24"/>
          <w:szCs w:val="24"/>
          <w:u w:color="000000"/>
          <w:rtl w:val="0"/>
        </w:rPr>
      </w:pPr>
    </w:p>
    <w:p>
      <w:pPr>
        <w:pStyle w:val="Body"/>
        <w:bidi w:val="0"/>
        <w:ind w:left="720" w:right="0" w:hanging="720"/>
        <w:jc w:val="left"/>
        <w:rPr>
          <w:rFonts w:ascii="Times New Roman" w:cs="Times New Roman" w:hAnsi="Times New Roman" w:eastAsia="Times New Roman"/>
          <w:sz w:val="24"/>
          <w:szCs w:val="24"/>
          <w:u w:color="000000"/>
          <w:rtl w:val="0"/>
        </w:rPr>
      </w:pPr>
      <w:r>
        <w:rPr>
          <w:rFonts w:ascii="Times New Roman" w:hAnsi="Times New Roman"/>
          <w:sz w:val="24"/>
          <w:szCs w:val="24"/>
          <w:u w:color="000000"/>
          <w:rtl w:val="0"/>
          <w:lang w:val="de-DE"/>
        </w:rPr>
        <w:t xml:space="preserve">Bertness, M.D. 1984.  Ribbed mussels and </w:t>
      </w:r>
      <w:r>
        <w:rPr>
          <w:rFonts w:ascii="Times New Roman" w:hAnsi="Times New Roman"/>
          <w:i w:val="1"/>
          <w:iCs w:val="1"/>
          <w:sz w:val="24"/>
          <w:szCs w:val="24"/>
          <w:u w:color="000000"/>
          <w:rtl w:val="0"/>
          <w:lang w:val="it-IT"/>
        </w:rPr>
        <w:t xml:space="preserve">Spartina alterniflora </w:t>
      </w:r>
      <w:r>
        <w:rPr>
          <w:rFonts w:ascii="Times New Roman" w:hAnsi="Times New Roman"/>
          <w:sz w:val="24"/>
          <w:szCs w:val="24"/>
          <w:u w:color="000000"/>
          <w:rtl w:val="0"/>
          <w:lang w:val="en-US"/>
        </w:rPr>
        <w:t xml:space="preserve">production in a New England salt marsh.  </w:t>
      </w:r>
      <w:r>
        <w:rPr>
          <w:rFonts w:ascii="Times New Roman" w:hAnsi="Times New Roman"/>
          <w:i w:val="1"/>
          <w:iCs w:val="1"/>
          <w:sz w:val="24"/>
          <w:szCs w:val="24"/>
          <w:u w:color="000000"/>
          <w:rtl w:val="0"/>
        </w:rPr>
        <w:t>Ecology</w:t>
      </w:r>
      <w:r>
        <w:rPr>
          <w:rFonts w:ascii="Times New Roman" w:hAnsi="Times New Roman"/>
          <w:sz w:val="24"/>
          <w:szCs w:val="24"/>
          <w:u w:color="000000"/>
          <w:rtl w:val="0"/>
        </w:rPr>
        <w:t xml:space="preserve"> 65:1794-1807.</w:t>
      </w:r>
    </w:p>
    <w:p>
      <w:pPr>
        <w:pStyle w:val="Body"/>
        <w:bidi w:val="0"/>
        <w:ind w:left="720" w:right="0" w:hanging="720"/>
        <w:jc w:val="left"/>
        <w:rPr>
          <w:rFonts w:ascii="Times New Roman" w:cs="Times New Roman" w:hAnsi="Times New Roman" w:eastAsia="Times New Roman"/>
          <w:sz w:val="24"/>
          <w:szCs w:val="24"/>
          <w:u w:color="000000"/>
          <w:rtl w:val="0"/>
        </w:rPr>
      </w:pPr>
    </w:p>
    <w:p>
      <w:pPr>
        <w:pStyle w:val="Body"/>
        <w:bidi w:val="0"/>
        <w:ind w:left="720" w:right="0" w:hanging="720"/>
        <w:jc w:val="left"/>
        <w:rPr>
          <w:rFonts w:ascii="Times New Roman" w:cs="Times New Roman" w:hAnsi="Times New Roman" w:eastAsia="Times New Roman"/>
          <w:sz w:val="24"/>
          <w:szCs w:val="24"/>
          <w:u w:color="000000"/>
          <w:rtl w:val="0"/>
        </w:rPr>
      </w:pPr>
      <w:r>
        <w:rPr>
          <w:rFonts w:ascii="Times New Roman" w:hAnsi="Times New Roman"/>
          <w:sz w:val="24"/>
          <w:szCs w:val="24"/>
          <w:u w:color="000000"/>
          <w:rtl w:val="0"/>
          <w:lang w:val="en-US"/>
        </w:rPr>
        <w:t xml:space="preserve">Bertness, M.D., and E. Grosholz. 1985. Population dynamics of the ribbed mussel, </w:t>
      </w:r>
      <w:r>
        <w:rPr>
          <w:rFonts w:ascii="Times New Roman" w:hAnsi="Times New Roman"/>
          <w:i w:val="1"/>
          <w:iCs w:val="1"/>
          <w:sz w:val="24"/>
          <w:szCs w:val="24"/>
          <w:u w:color="000000"/>
          <w:rtl w:val="0"/>
          <w:lang w:val="nl-NL"/>
        </w:rPr>
        <w:t>Geukensia demissa</w:t>
      </w:r>
      <w:r>
        <w:rPr>
          <w:rFonts w:ascii="Times New Roman" w:hAnsi="Times New Roman"/>
          <w:sz w:val="24"/>
          <w:szCs w:val="24"/>
          <w:u w:color="000000"/>
          <w:rtl w:val="0"/>
          <w:lang w:val="en-US"/>
        </w:rPr>
        <w:t xml:space="preserve">: The costs and benefits of an aggregated distribution.  </w:t>
      </w:r>
      <w:r>
        <w:rPr>
          <w:rFonts w:ascii="Times New Roman" w:hAnsi="Times New Roman"/>
          <w:i w:val="1"/>
          <w:iCs w:val="1"/>
          <w:sz w:val="24"/>
          <w:szCs w:val="24"/>
          <w:u w:color="000000"/>
          <w:rtl w:val="0"/>
          <w:lang w:val="it-IT"/>
        </w:rPr>
        <w:t xml:space="preserve">Oecologia </w:t>
      </w:r>
      <w:r>
        <w:rPr>
          <w:rFonts w:ascii="Times New Roman" w:hAnsi="Times New Roman"/>
          <w:sz w:val="24"/>
          <w:szCs w:val="24"/>
          <w:u w:color="000000"/>
          <w:rtl w:val="0"/>
        </w:rPr>
        <w:t>67:192-204.</w:t>
      </w:r>
    </w:p>
    <w:p>
      <w:pPr>
        <w:pStyle w:val="Body"/>
        <w:bidi w:val="0"/>
        <w:ind w:left="720" w:right="0" w:hanging="720"/>
        <w:jc w:val="left"/>
        <w:rPr>
          <w:rFonts w:ascii="Times New Roman" w:cs="Times New Roman" w:hAnsi="Times New Roman" w:eastAsia="Times New Roman"/>
          <w:sz w:val="24"/>
          <w:szCs w:val="24"/>
          <w:u w:color="000000"/>
          <w:rtl w:val="0"/>
        </w:rPr>
      </w:pPr>
    </w:p>
    <w:p>
      <w:pPr>
        <w:pStyle w:val="Body"/>
        <w:bidi w:val="0"/>
        <w:ind w:left="720" w:right="0" w:hanging="720"/>
        <w:jc w:val="left"/>
        <w:rPr>
          <w:rFonts w:ascii="Times New Roman" w:cs="Times New Roman" w:hAnsi="Times New Roman" w:eastAsia="Times New Roman"/>
          <w:sz w:val="24"/>
          <w:szCs w:val="24"/>
          <w:u w:color="000000"/>
          <w:rtl w:val="0"/>
        </w:rPr>
      </w:pPr>
      <w:r>
        <w:rPr>
          <w:rFonts w:ascii="Times New Roman" w:hAnsi="Times New Roman"/>
          <w:sz w:val="24"/>
          <w:szCs w:val="24"/>
          <w:u w:color="000000"/>
          <w:rtl w:val="0"/>
        </w:rPr>
        <w:t>K</w:t>
      </w:r>
      <w:r>
        <w:rPr>
          <w:rFonts w:ascii="Times New Roman" w:hAnsi="Times New Roman"/>
          <w:sz w:val="24"/>
          <w:szCs w:val="24"/>
          <w:u w:color="000000"/>
          <w:rtl w:val="0"/>
          <w:lang w:val="en-US"/>
        </w:rPr>
        <w:t>ue</w:t>
      </w:r>
      <w:r>
        <w:rPr>
          <w:rFonts w:ascii="Times New Roman" w:hAnsi="Times New Roman"/>
          <w:sz w:val="24"/>
          <w:szCs w:val="24"/>
          <w:u w:color="000000"/>
          <w:rtl w:val="0"/>
          <w:lang w:val="en-US"/>
        </w:rPr>
        <w:t xml:space="preserve">nzler, E.J. 1961. Structure and energy flow of a mussel population in a Georgia salt marsh.  </w:t>
      </w:r>
      <w:r>
        <w:rPr>
          <w:rFonts w:ascii="Times New Roman" w:hAnsi="Times New Roman"/>
          <w:i w:val="1"/>
          <w:iCs w:val="1"/>
          <w:sz w:val="24"/>
          <w:szCs w:val="24"/>
          <w:u w:color="000000"/>
          <w:rtl w:val="0"/>
          <w:lang w:val="en-US"/>
        </w:rPr>
        <w:t xml:space="preserve">Limnology and Oceanography </w:t>
      </w:r>
      <w:r>
        <w:rPr>
          <w:rFonts w:ascii="Times New Roman" w:hAnsi="Times New Roman"/>
          <w:sz w:val="24"/>
          <w:szCs w:val="24"/>
          <w:u w:color="000000"/>
          <w:rtl w:val="0"/>
        </w:rPr>
        <w:t>6: 191-204.</w:t>
      </w:r>
    </w:p>
    <w:p>
      <w:pPr>
        <w:pStyle w:val="Body"/>
        <w:bidi w:val="0"/>
        <w:ind w:left="0" w:right="0" w:firstLine="0"/>
        <w:jc w:val="left"/>
        <w:rPr>
          <w:rFonts w:ascii="Times New Roman" w:cs="Times New Roman" w:hAnsi="Times New Roman" w:eastAsia="Times New Roman"/>
          <w:sz w:val="24"/>
          <w:szCs w:val="24"/>
          <w:u w:color="000000"/>
          <w:rtl w:val="0"/>
        </w:rPr>
      </w:pPr>
    </w:p>
    <w:p>
      <w:pPr>
        <w:pStyle w:val="Body"/>
        <w:bidi w:val="0"/>
        <w:ind w:left="720" w:right="0" w:hanging="720"/>
        <w:jc w:val="left"/>
        <w:rPr>
          <w:rFonts w:ascii="Times New Roman" w:cs="Times New Roman" w:hAnsi="Times New Roman" w:eastAsia="Times New Roman"/>
          <w:sz w:val="24"/>
          <w:szCs w:val="24"/>
          <w:u w:color="000000"/>
          <w:rtl w:val="0"/>
        </w:rPr>
      </w:pPr>
      <w:r>
        <w:rPr>
          <w:rFonts w:ascii="Times New Roman" w:hAnsi="Times New Roman"/>
          <w:sz w:val="24"/>
          <w:szCs w:val="24"/>
          <w:u w:color="000000"/>
          <w:rtl w:val="0"/>
          <w:lang w:val="en-US"/>
        </w:rPr>
        <w:t xml:space="preserve">Stiven, A.E., and S.A. Gardner. 1992. Population processes in the ribbed mussel </w:t>
      </w:r>
      <w:r>
        <w:rPr>
          <w:rFonts w:ascii="Times New Roman" w:hAnsi="Times New Roman"/>
          <w:i w:val="1"/>
          <w:iCs w:val="1"/>
          <w:sz w:val="24"/>
          <w:szCs w:val="24"/>
          <w:u w:color="000000"/>
          <w:rtl w:val="0"/>
          <w:lang w:val="nl-NL"/>
        </w:rPr>
        <w:t xml:space="preserve">Geukensia demissa </w:t>
      </w:r>
      <w:r>
        <w:rPr>
          <w:rFonts w:ascii="Times New Roman" w:hAnsi="Times New Roman"/>
          <w:sz w:val="24"/>
          <w:szCs w:val="24"/>
          <w:u w:color="000000"/>
          <w:rtl w:val="0"/>
          <w:lang w:val="en-US"/>
        </w:rPr>
        <w:t xml:space="preserve">(Dillwyn) in a North Carolina salt marsh tidal gradient: spatial pattern, predation, growth and mortality.  </w:t>
      </w:r>
      <w:r>
        <w:rPr>
          <w:rFonts w:ascii="Times New Roman" w:hAnsi="Times New Roman"/>
          <w:i w:val="1"/>
          <w:iCs w:val="1"/>
          <w:sz w:val="24"/>
          <w:szCs w:val="24"/>
          <w:u w:color="000000"/>
          <w:rtl w:val="0"/>
          <w:lang w:val="en-US"/>
        </w:rPr>
        <w:t xml:space="preserve">Journal of Experimental Marine Biology and Ecology </w:t>
      </w:r>
      <w:r>
        <w:rPr>
          <w:rFonts w:ascii="Times New Roman" w:hAnsi="Times New Roman"/>
          <w:sz w:val="24"/>
          <w:szCs w:val="24"/>
          <w:u w:color="000000"/>
          <w:rtl w:val="0"/>
        </w:rPr>
        <w:t>160:81-102.</w:t>
      </w:r>
    </w:p>
    <w:p>
      <w:pPr>
        <w:pStyle w:val="Body"/>
        <w:bidi w:val="0"/>
        <w:ind w:left="720" w:right="0" w:hanging="720"/>
        <w:jc w:val="left"/>
        <w:rPr>
          <w:rFonts w:ascii="Times New Roman" w:cs="Times New Roman" w:hAnsi="Times New Roman" w:eastAsia="Times New Roman"/>
          <w:sz w:val="24"/>
          <w:szCs w:val="24"/>
          <w:u w:color="000000"/>
          <w:rtl w:val="0"/>
        </w:rPr>
      </w:pPr>
    </w:p>
    <w:p>
      <w:pPr>
        <w:pStyle w:val="Body"/>
        <w:bidi w:val="0"/>
        <w:ind w:left="720" w:right="0" w:hanging="720"/>
        <w:jc w:val="left"/>
        <w:rPr>
          <w:rFonts w:ascii="Times New Roman" w:cs="Times New Roman" w:hAnsi="Times New Roman" w:eastAsia="Times New Roman"/>
          <w:sz w:val="24"/>
          <w:szCs w:val="24"/>
          <w:u w:color="000000"/>
          <w:rtl w:val="0"/>
        </w:rPr>
      </w:pPr>
      <w:r>
        <w:rPr>
          <w:rFonts w:ascii="Times New Roman" w:hAnsi="Times New Roman"/>
          <w:sz w:val="24"/>
          <w:szCs w:val="24"/>
          <w:u w:color="000000"/>
          <w:rtl w:val="0"/>
          <w:lang w:val="en-US"/>
        </w:rPr>
        <w:t xml:space="preserve">Lin, J.L. 1989. Influence of location in a salt marsh on survivorship of ribbed mussels.  </w:t>
      </w:r>
      <w:r>
        <w:rPr>
          <w:rFonts w:ascii="Times New Roman" w:hAnsi="Times New Roman"/>
          <w:i w:val="1"/>
          <w:iCs w:val="1"/>
          <w:sz w:val="24"/>
          <w:szCs w:val="24"/>
          <w:u w:color="000000"/>
          <w:rtl w:val="0"/>
          <w:lang w:val="en-US"/>
        </w:rPr>
        <w:t xml:space="preserve">Marine Ecology Progress Series </w:t>
      </w:r>
      <w:r>
        <w:rPr>
          <w:rFonts w:ascii="Times New Roman" w:hAnsi="Times New Roman"/>
          <w:sz w:val="24"/>
          <w:szCs w:val="24"/>
          <w:u w:color="000000"/>
          <w:rtl w:val="0"/>
        </w:rPr>
        <w:t>56:105-110.</w:t>
      </w:r>
    </w:p>
    <w:p>
      <w:pPr>
        <w:pStyle w:val="Body"/>
        <w:bidi w:val="0"/>
        <w:ind w:left="720" w:right="0" w:hanging="720"/>
        <w:jc w:val="left"/>
        <w:rPr>
          <w:rFonts w:ascii="Times New Roman" w:cs="Times New Roman" w:hAnsi="Times New Roman" w:eastAsia="Times New Roman"/>
          <w:sz w:val="24"/>
          <w:szCs w:val="24"/>
          <w:u w:color="000000"/>
          <w:rtl w:val="0"/>
        </w:rPr>
      </w:pPr>
    </w:p>
    <w:p>
      <w:pPr>
        <w:pStyle w:val="Body"/>
        <w:widowControl w:val="0"/>
        <w:bidi w:val="0"/>
        <w:spacing w:after="240"/>
        <w:ind w:left="720" w:right="0" w:hanging="720"/>
        <w:jc w:val="left"/>
        <w:rPr>
          <w:rFonts w:ascii="Times New Roman" w:cs="Times New Roman" w:hAnsi="Times New Roman" w:eastAsia="Times New Roman"/>
          <w:sz w:val="24"/>
          <w:szCs w:val="24"/>
          <w:u w:color="000000"/>
          <w:rtl w:val="0"/>
        </w:rPr>
      </w:pPr>
      <w:r>
        <w:rPr>
          <w:rFonts w:ascii="Times New Roman" w:hAnsi="Times New Roman"/>
          <w:sz w:val="24"/>
          <w:szCs w:val="24"/>
          <w:u w:color="000000"/>
          <w:rtl w:val="0"/>
          <w:lang w:val="en-US"/>
        </w:rPr>
        <w:t xml:space="preserve">Nielsen, K.J. and D.R. Franz. 1995. The influence of adult conspecifics and shore level on recruitment of the ribbed mussel </w:t>
      </w:r>
      <w:r>
        <w:rPr>
          <w:rFonts w:ascii="Times New Roman" w:hAnsi="Times New Roman"/>
          <w:i w:val="1"/>
          <w:iCs w:val="1"/>
          <w:sz w:val="24"/>
          <w:szCs w:val="24"/>
          <w:u w:color="000000"/>
          <w:rtl w:val="0"/>
          <w:lang w:val="nl-NL"/>
        </w:rPr>
        <w:t xml:space="preserve">Geukensia demissa </w:t>
      </w:r>
      <w:r>
        <w:rPr>
          <w:rFonts w:ascii="Times New Roman" w:hAnsi="Times New Roman"/>
          <w:sz w:val="24"/>
          <w:szCs w:val="24"/>
          <w:u w:color="000000"/>
          <w:rtl w:val="0"/>
        </w:rPr>
        <w:t xml:space="preserve">(Dillwyn).  </w:t>
      </w:r>
      <w:r>
        <w:rPr>
          <w:rFonts w:ascii="Times New Roman" w:hAnsi="Times New Roman"/>
          <w:i w:val="1"/>
          <w:iCs w:val="1"/>
          <w:sz w:val="24"/>
          <w:szCs w:val="24"/>
          <w:u w:color="000000"/>
          <w:rtl w:val="0"/>
          <w:lang w:val="en-US"/>
        </w:rPr>
        <w:t xml:space="preserve">Journal of Experimental Marine Biology and Ecology </w:t>
      </w:r>
      <w:r>
        <w:rPr>
          <w:rFonts w:ascii="Times New Roman" w:hAnsi="Times New Roman"/>
          <w:sz w:val="24"/>
          <w:szCs w:val="24"/>
          <w:u w:color="000000"/>
          <w:rtl w:val="0"/>
        </w:rPr>
        <w:t>188:89-98.</w:t>
      </w:r>
    </w:p>
    <w:sectPr>
      <w:headerReference w:type="default" r:id="rId6"/>
      <w:footerReference w:type="default" r:id="rId7"/>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paragraph" w:styleId="Table Style 2">
    <w:name w:val="Table Style 2"/>
    <w:next w:val="Table Style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0"/>
      <w:szCs w:val="20"/>
      <w:u w:val="none"/>
      <w:vertAlign w:val="baselin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