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4E10" w14:textId="77777777" w:rsidR="00B2352B" w:rsidRPr="00B2352B" w:rsidRDefault="00B2352B" w:rsidP="00B2352B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</w:pPr>
      <w:r w:rsidRPr="00B2352B"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Organizational Change</w:t>
      </w:r>
    </w:p>
    <w:p w14:paraId="6EAC1C65" w14:textId="235BE8BB" w:rsidR="00BC427E" w:rsidRDefault="00B2352B" w:rsidP="00B2352B">
      <w:pPr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2. What are the fundamental dimensions of change?</w:t>
      </w:r>
    </w:p>
    <w:p w14:paraId="0D6F0341" w14:textId="4849EFC3" w:rsidR="00B2352B" w:rsidRPr="00B2352B" w:rsidRDefault="00B2352B" w:rsidP="00B2352B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>O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rganizations are constantly evolving. One common refrain is that "there is nothing so constant as</w:t>
      </w:r>
    </w:p>
    <w:p w14:paraId="76DC7B20" w14:textId="77777777" w:rsidR="00B2352B" w:rsidRPr="00B2352B" w:rsidRDefault="00B2352B" w:rsidP="00B2352B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change." Because of this, there is no one best way to organize in all circumstances. Effective managers need to</w:t>
      </w:r>
    </w:p>
    <w:p w14:paraId="17FC1F02" w14:textId="577FDF02" w:rsidR="00B2352B" w:rsidRDefault="00B2352B" w:rsidP="00B2352B">
      <w:pPr>
        <w:pBdr>
          <w:bottom w:val="single" w:sz="12" w:space="1" w:color="auto"/>
        </w:pBd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be aware of the various factors that drive the need for change.</w:t>
      </w:r>
    </w:p>
    <w:p w14:paraId="163A6CFF" w14:textId="77777777" w:rsidR="00B2352B" w:rsidRDefault="00B2352B" w:rsidP="00B2352B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638AF61F" w14:textId="77777777" w:rsidR="00B2352B" w:rsidRDefault="00B2352B" w:rsidP="00B2352B">
      <w:p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>Contents:</w:t>
      </w:r>
    </w:p>
    <w:p w14:paraId="5BFDD979" w14:textId="73BDAF58" w:rsidR="00B2352B" w:rsidRDefault="00B2352B" w:rsidP="00B2352B">
      <w:pPr>
        <w:pStyle w:val="ListParagraph"/>
        <w:numPr>
          <w:ilvl w:val="0"/>
          <w:numId w:val="2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Types of change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in organizations</w:t>
      </w:r>
    </w:p>
    <w:p w14:paraId="38EBE1B0" w14:textId="0E73A7C0" w:rsidR="00B2352B" w:rsidRDefault="00B2352B" w:rsidP="00B2352B">
      <w:pPr>
        <w:pStyle w:val="ListParagraph"/>
        <w:numPr>
          <w:ilvl w:val="0"/>
          <w:numId w:val="2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>Organizational life cycle model</w:t>
      </w:r>
    </w:p>
    <w:p w14:paraId="05F7268D" w14:textId="31C6387F" w:rsidR="000C0A3F" w:rsidRDefault="00C5758D" w:rsidP="00B2352B">
      <w:pPr>
        <w:pStyle w:val="ListParagraph"/>
        <w:numPr>
          <w:ilvl w:val="0"/>
          <w:numId w:val="2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eastAsia="NotoSans" w:cs="NotoSans"/>
          <w:color w:val="242424"/>
          <w:sz w:val="18"/>
          <w:szCs w:val="18"/>
          <w:lang w:val="en-US"/>
        </w:rPr>
        <w:t>Dimensions of change</w:t>
      </w:r>
    </w:p>
    <w:p w14:paraId="78E2233D" w14:textId="116B25AD" w:rsidR="00B2352B" w:rsidRDefault="00B2352B" w:rsidP="00B2352B">
      <w:pPr>
        <w:pBdr>
          <w:bottom w:val="single" w:sz="12" w:space="1" w:color="auto"/>
        </w:pBd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3309ED0D" w14:textId="77777777" w:rsidR="00B2352B" w:rsidRDefault="00B2352B" w:rsidP="00B2352B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1534A60B" w14:textId="6B14655B" w:rsidR="00B2352B" w:rsidRPr="00B2352B" w:rsidRDefault="00B2352B" w:rsidP="00B2352B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</w:pP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1)Types of Change</w:t>
      </w:r>
    </w:p>
    <w:p w14:paraId="6BF170D6" w14:textId="6B97D88D" w:rsidR="00B2352B" w:rsidRDefault="00B2352B" w:rsidP="00B2352B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3B5B95E7" w14:textId="0E797D42" w:rsidR="00B2352B" w:rsidRDefault="00B2352B" w:rsidP="00B2352B">
      <w:pPr>
        <w:pStyle w:val="ListParagraph"/>
        <w:numPr>
          <w:ilvl w:val="0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S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tructural change.</w:t>
      </w:r>
    </w:p>
    <w:p w14:paraId="30567000" w14:textId="7F1387E3" w:rsid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changes in the overall formal relationships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 xml:space="preserve">within an organization. </w:t>
      </w:r>
    </w:p>
    <w:p w14:paraId="02179B4B" w14:textId="11B037B9" w:rsidR="00B2352B" w:rsidRP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Examples of structural change include reorganizing departments or business units,</w:t>
      </w:r>
    </w:p>
    <w:p w14:paraId="028A161E" w14:textId="77777777" w:rsidR="00B2352B" w:rsidRDefault="00B2352B" w:rsidP="00B2352B">
      <w:pPr>
        <w:pStyle w:val="ListParagraph"/>
        <w:ind w:left="1440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adding employee positions, or revising job roles and assignments.</w:t>
      </w:r>
    </w:p>
    <w:p w14:paraId="65C71535" w14:textId="55A1DBEF" w:rsid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These changes should be made to support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broader objectives such as to centralize or decentralize operations, empower employees, or find greater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efficiencies.</w:t>
      </w:r>
    </w:p>
    <w:p w14:paraId="7F33DF77" w14:textId="77777777" w:rsidR="00B2352B" w:rsidRDefault="00B2352B" w:rsidP="00B2352B">
      <w:pPr>
        <w:pBdr>
          <w:bottom w:val="single" w:sz="12" w:space="1" w:color="auto"/>
        </w:pBd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5885AF55" w14:textId="77777777" w:rsidR="00B2352B" w:rsidRPr="00B2352B" w:rsidRDefault="00B2352B" w:rsidP="00B2352B">
      <w:pPr>
        <w:ind w:left="1080"/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5B60990D" w14:textId="5DAE674C" w:rsidR="00B2352B" w:rsidRDefault="00B2352B" w:rsidP="00B2352B">
      <w:pPr>
        <w:pStyle w:val="ListParagraph"/>
        <w:numPr>
          <w:ilvl w:val="0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>Technological Change</w:t>
      </w:r>
    </w:p>
    <w:p w14:paraId="42FACE8F" w14:textId="77777777" w:rsid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Implementation of new technologies is often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 xml:space="preserve">forced upon an organization as the environment shifts. </w:t>
      </w:r>
    </w:p>
    <w:p w14:paraId="0FCC3603" w14:textId="1F96D658" w:rsidR="00B2352B" w:rsidRPr="000C0A3F" w:rsidRDefault="00B2352B" w:rsidP="000C0A3F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For example, an industry upgrade in a commonly used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 xml:space="preserve">software platform may require that employees learn new ways of working. </w:t>
      </w:r>
    </w:p>
    <w:p w14:paraId="6F5A2D38" w14:textId="77777777" w:rsidR="00B2352B" w:rsidRDefault="00B2352B" w:rsidP="00B2352B">
      <w:pPr>
        <w:pBdr>
          <w:bottom w:val="single" w:sz="12" w:space="1" w:color="auto"/>
        </w:pBd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2B149832" w14:textId="77777777" w:rsidR="00B2352B" w:rsidRPr="00B2352B" w:rsidRDefault="00B2352B" w:rsidP="00B2352B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4293C697" w14:textId="34915A77" w:rsidR="00B2352B" w:rsidRDefault="00B2352B" w:rsidP="00B2352B">
      <w:pPr>
        <w:pStyle w:val="ListParagraph"/>
        <w:numPr>
          <w:ilvl w:val="0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cs="NotoSans"/>
          <w:color w:val="242424"/>
          <w:sz w:val="18"/>
          <w:szCs w:val="18"/>
          <w:lang w:val="en-US"/>
        </w:rPr>
        <w:t>Culture Change</w:t>
      </w:r>
    </w:p>
    <w:p w14:paraId="00A7AEE2" w14:textId="77777777" w:rsid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Organizational culture refers to the common patterns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 xml:space="preserve">of thinking and behaving within an organization. </w:t>
      </w:r>
    </w:p>
    <w:p w14:paraId="4BAB3D23" w14:textId="43AE2D8E" w:rsidR="00B2352B" w:rsidRP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Culture change is among the most difficult kinds of changes to create within an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 xml:space="preserve">organizational system. </w:t>
      </w:r>
    </w:p>
    <w:p w14:paraId="47484BB7" w14:textId="1E1723B1" w:rsidR="00B2352B" w:rsidRDefault="00B2352B" w:rsidP="00B2352B">
      <w:pPr>
        <w:pStyle w:val="ListParagraph"/>
        <w:numPr>
          <w:ilvl w:val="1"/>
          <w:numId w:val="3"/>
        </w:num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A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B2352B">
        <w:rPr>
          <w:rFonts w:ascii="NotoSans" w:eastAsia="NotoSans" w:cs="NotoSans"/>
          <w:color w:val="242424"/>
          <w:sz w:val="18"/>
          <w:szCs w:val="18"/>
          <w:lang w:val="en-US"/>
        </w:rPr>
        <w:t>typical culture change process, if it is successful, requires many years to achieve.</w:t>
      </w:r>
    </w:p>
    <w:p w14:paraId="78C0EF93" w14:textId="41A4F37C" w:rsidR="000C0A3F" w:rsidRDefault="000C0A3F" w:rsidP="000C0A3F">
      <w:pPr>
        <w:pBdr>
          <w:bottom w:val="single" w:sz="12" w:space="1" w:color="auto"/>
        </w:pBd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4596EDE5" w14:textId="47F79A19" w:rsidR="000C0A3F" w:rsidRDefault="000C0A3F" w:rsidP="000C0A3F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3E8F311F" w14:textId="30B2BD52" w:rsidR="000C0A3F" w:rsidRDefault="000C0A3F" w:rsidP="000C0A3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</w:pP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2</w:t>
      </w: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)</w:t>
      </w: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The organizational life cycle</w:t>
      </w:r>
    </w:p>
    <w:p w14:paraId="5415C908" w14:textId="38476B09" w:rsidR="000C0A3F" w:rsidRDefault="000C0A3F" w:rsidP="000C0A3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30"/>
          <w:szCs w:val="30"/>
          <w:lang w:val="ky-KG"/>
        </w:rPr>
      </w:pPr>
      <w:r w:rsidRPr="000C0A3F">
        <w:rPr>
          <w:rFonts w:ascii="RobotoCondensed-Regular" w:hAnsi="RobotoCondensed-Regular" w:cs="RobotoCondensed-Regular"/>
          <w:color w:val="344456"/>
          <w:sz w:val="30"/>
          <w:szCs w:val="30"/>
          <w:lang w:val="ky-KG"/>
        </w:rPr>
        <w:drawing>
          <wp:inline distT="0" distB="0" distL="0" distR="0" wp14:anchorId="11B78079" wp14:editId="65603E6B">
            <wp:extent cx="5940425" cy="4181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FBC8" w14:textId="77777777" w:rsidR="000C0A3F" w:rsidRPr="000C0A3F" w:rsidRDefault="000C0A3F" w:rsidP="000C0A3F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30"/>
          <w:szCs w:val="30"/>
          <w:lang w:val="ky-KG"/>
        </w:rPr>
      </w:pPr>
    </w:p>
    <w:p w14:paraId="00DF805C" w14:textId="0F418EC9" w:rsidR="000C0A3F" w:rsidRDefault="00C5758D" w:rsidP="000C0A3F">
      <w:pP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</w:pP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3</w:t>
      </w: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)</w:t>
      </w:r>
      <w:r>
        <w:rPr>
          <w:rFonts w:ascii="RobotoCondensed-Regular" w:hAnsi="RobotoCondensed-Regular" w:cs="RobotoCondensed-Regular"/>
          <w:color w:val="344456"/>
          <w:sz w:val="30"/>
          <w:szCs w:val="30"/>
          <w:lang w:val="en-US"/>
        </w:rPr>
        <w:t>Dimensions of Change</w:t>
      </w:r>
    </w:p>
    <w:p w14:paraId="5674305A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RobotoCondensed-Regular" w:hAnsi="RobotoCondensed-Regular" w:cs="RobotoCondensed-Regular"/>
          <w:color w:val="344456"/>
          <w:sz w:val="27"/>
          <w:szCs w:val="27"/>
          <w:lang w:val="en-US"/>
        </w:rPr>
      </w:pPr>
      <w:r w:rsidRPr="0045603A">
        <w:rPr>
          <w:rFonts w:ascii="RobotoCondensed-Regular" w:hAnsi="RobotoCondensed-Regular" w:cs="RobotoCondensed-Regular"/>
          <w:color w:val="344456"/>
          <w:sz w:val="27"/>
          <w:szCs w:val="27"/>
          <w:lang w:val="en-US"/>
        </w:rPr>
        <w:t>Dimensions of Change</w:t>
      </w:r>
    </w:p>
    <w:p w14:paraId="426FDCA3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When considering how to assess the need for change in an organization, it can be helpful to think of three</w:t>
      </w:r>
    </w:p>
    <w:p w14:paraId="5870414A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dimensions: the scope of change, the level of change, and the intentionality of change.</w:t>
      </w:r>
    </w:p>
    <w:p w14:paraId="6585992F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 xml:space="preserve">The first, the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scope of change </w:t>
      </w: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refers to the degree to which the required change will disrupt current patterns</w:t>
      </w:r>
    </w:p>
    <w:p w14:paraId="51529017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 xml:space="preserve">and routines.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Incremental change </w:t>
      </w: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refers to small refinements in current organizational practices or routines</w:t>
      </w:r>
    </w:p>
    <w:p w14:paraId="676EB166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that do not challenge, but rather build on or improve, existing aspects and practices within the organization.</w:t>
      </w:r>
    </w:p>
    <w:p w14:paraId="1C98773D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Common incremental change practices are LEAN and Six Sigma, which are used to find relatively small</w:t>
      </w:r>
    </w:p>
    <w:p w14:paraId="20232931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changes that can generate greater efficiencies in a process. An organization can improve its product-line</w:t>
      </w:r>
    </w:p>
    <w:p w14:paraId="7FF001F5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efficiencies by identifying small discrepancies in process, then fixing them in a systematic way. Incremental</w:t>
      </w:r>
    </w:p>
    <w:p w14:paraId="0F5BAA5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change does not typically challenge people to be at the edge of their comfort zone.</w:t>
      </w:r>
      <w:r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  <w:t xml:space="preserve"> 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Setter, Craig Joseph and The Council for Six Sigma Certification,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Six Sigma: A Complete Step-by-Step Guide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The</w:t>
      </w:r>
    </w:p>
    <w:p w14:paraId="358806F2" w14:textId="7465E713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Council for Six Sigma Certification, 2018.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>)</w:t>
      </w:r>
    </w:p>
    <w:p w14:paraId="3E7F3DF7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 xml:space="preserve">In contrast,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transformational change </w:t>
      </w: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refers to significant shifts in an organizational system that may cause</w:t>
      </w:r>
    </w:p>
    <w:p w14:paraId="32791495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significant disruption to some underlying aspect of the organization, its processes, or structures.</w:t>
      </w:r>
    </w:p>
    <w:p w14:paraId="6A176886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Transformational change can be invigorating for some employees, but also highly disruptive and stressful for</w:t>
      </w:r>
    </w:p>
    <w:p w14:paraId="1F11D910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others. Examples of transformational change include large systems changes and organizational restructuring.</w:t>
      </w:r>
    </w:p>
    <w:p w14:paraId="58785670" w14:textId="5299F056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Culture change often requires transformational change to be successful.</w:t>
      </w:r>
      <w:r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  <w:t>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proofErr w:type="spellStart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Eisenbach</w:t>
      </w:r>
      <w:proofErr w:type="spellEnd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, R., Watson, K., and Pillai, R., </w:t>
      </w:r>
      <w:r w:rsidRPr="0045603A">
        <w:rPr>
          <w:rFonts w:ascii="NotoSans" w:eastAsia="NotoSans" w:cs="NotoSans" w:hint="eastAsia"/>
          <w:color w:val="242424"/>
          <w:sz w:val="18"/>
          <w:szCs w:val="18"/>
          <w:lang w:val="en-US"/>
        </w:rPr>
        <w:t>“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Transformational Leadership in the Context of Organizational</w:t>
      </w:r>
    </w:p>
    <w:p w14:paraId="0AC1025F" w14:textId="76A5ECEE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eastAsia="NotoSans" w:cs="NotoSans"/>
          <w:color w:val="027EB6"/>
          <w:sz w:val="14"/>
          <w:szCs w:val="14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Change</w:t>
      </w:r>
      <w:r w:rsidRPr="0045603A">
        <w:rPr>
          <w:rFonts w:ascii="NotoSans" w:eastAsia="NotoSans" w:cs="NotoSans" w:hint="eastAsia"/>
          <w:color w:val="242424"/>
          <w:sz w:val="18"/>
          <w:szCs w:val="18"/>
          <w:lang w:val="en-US"/>
        </w:rPr>
        <w:t>”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Journal of Organizational Change Management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12, 1999, pp. 80-89.</w:t>
      </w:r>
      <w:r>
        <w:rPr>
          <w:rFonts w:eastAsia="NotoSans" w:cs="NotoSans"/>
          <w:color w:val="242424"/>
          <w:sz w:val="18"/>
          <w:szCs w:val="18"/>
          <w:lang w:val="en-US"/>
        </w:rPr>
        <w:t>)</w:t>
      </w:r>
    </w:p>
    <w:p w14:paraId="2984BBE6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 xml:space="preserve">Finally, a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strategic change </w:t>
      </w: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is a change, either incremental or transformational, that helps align an</w:t>
      </w:r>
    </w:p>
    <w:p w14:paraId="642921A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lastRenderedPageBreak/>
        <w:t>organization</w:t>
      </w:r>
      <w:r w:rsidRPr="0045603A">
        <w:rPr>
          <w:rFonts w:ascii="NotoSans" w:eastAsia="NotoSans" w:hAnsi="RobotoCondensed-Regular" w:cs="NotoSans" w:hint="eastAsia"/>
          <w:color w:val="242424"/>
          <w:sz w:val="18"/>
          <w:szCs w:val="18"/>
          <w:lang w:val="en-US"/>
        </w:rPr>
        <w:t>’</w:t>
      </w: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s operations with its strategic mission and objectives. This kind of change is necessary for an</w:t>
      </w:r>
    </w:p>
    <w:p w14:paraId="18FDA964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organization to achieve the focus it needs to make needed transfer missions and work it does feel to stay</w:t>
      </w:r>
    </w:p>
    <w:p w14:paraId="1B56BF7B" w14:textId="0C50F271" w:rsidR="00C5758D" w:rsidRDefault="0045603A" w:rsidP="0045603A">
      <w:pPr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RobotoCondensed-Regular" w:cs="NotoSans"/>
          <w:color w:val="242424"/>
          <w:sz w:val="18"/>
          <w:szCs w:val="18"/>
          <w:lang w:val="en-US"/>
        </w:rPr>
        <w:t>competitive in the current or larger organization, larger market environment, or societal environment.</w:t>
      </w:r>
    </w:p>
    <w:p w14:paraId="6F884702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The </w:t>
      </w: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level of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refers to the breadth of the systems that need to be changed within an organization.</w:t>
      </w:r>
    </w:p>
    <w:p w14:paraId="5A1916A7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Individual-level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focuses on how to help employees to improve some active aspect of </w:t>
      </w:r>
      <w:proofErr w:type="gramStart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their</w:t>
      </w:r>
      <w:proofErr w:type="gramEnd"/>
    </w:p>
    <w:p w14:paraId="0F86F97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performance or the knowledge they need to continue to contribute to the organization in an effective manner.</w:t>
      </w:r>
    </w:p>
    <w:p w14:paraId="481DC457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Individual-level change programs include leadership development, training, and performance management.</w:t>
      </w:r>
    </w:p>
    <w:p w14:paraId="39022395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Group-level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centers on the relationships between people and usually focuses on helping people to</w:t>
      </w:r>
    </w:p>
    <w:p w14:paraId="221BED23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work more effectively together. Team development, or teambuilding, is one of the most common forms of a</w:t>
      </w:r>
    </w:p>
    <w:p w14:paraId="246521A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team change process. </w:t>
      </w: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Organization-level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is a change that affects an entire organizational system or</w:t>
      </w:r>
    </w:p>
    <w:p w14:paraId="56C981A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several of its units. Strategic planning and implementation </w:t>
      </w:r>
      <w:proofErr w:type="gramStart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is</w:t>
      </w:r>
      <w:proofErr w:type="gramEnd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 perhaps the most common type of </w:t>
      </w:r>
      <w:proofErr w:type="spellStart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organizationlevel</w:t>
      </w:r>
      <w:proofErr w:type="spellEnd"/>
    </w:p>
    <w:p w14:paraId="0B809A8D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change. Higher-level change programs usually require changes at lower levels</w:t>
      </w:r>
      <w:r w:rsidRPr="0045603A">
        <w:rPr>
          <w:rFonts w:ascii="NotoSans" w:eastAsia="NotoSans" w:cs="NotoSans" w:hint="eastAsia"/>
          <w:color w:val="242424"/>
          <w:sz w:val="18"/>
          <w:szCs w:val="18"/>
          <w:lang w:val="en-US"/>
        </w:rPr>
        <w:t>—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an organization-level</w:t>
      </w:r>
    </w:p>
    <w:p w14:paraId="5FB5B863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change may require change at both team and individual levels as well.</w:t>
      </w:r>
    </w:p>
    <w:p w14:paraId="596F8B66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Intentionality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is the final dimension of change and refers to the degree to which the change is intentionally</w:t>
      </w:r>
    </w:p>
    <w:p w14:paraId="2743B54D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designed or purposefully implemented. </w:t>
      </w: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Planned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is an intentional activity or set of intentional activities</w:t>
      </w:r>
    </w:p>
    <w:p w14:paraId="6B8F1E5E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that are designed to create movement toward a specific goal or end. Planned change processes often involve</w:t>
      </w:r>
    </w:p>
    <w:p w14:paraId="6C8CDC5B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large groups of people and step-by-step or phase-by-phase activities that unfold over a period of time. Usually,</w:t>
      </w:r>
    </w:p>
    <w:p w14:paraId="72EE7196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effective leaders identify clear objectives for the change, the specific activities that will achieve those</w:t>
      </w:r>
    </w:p>
    <w:p w14:paraId="187196DF" w14:textId="4FFB92B9" w:rsidR="0045603A" w:rsidRDefault="0045603A" w:rsidP="0045603A">
      <w:pPr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objectives, and the indicators of success.</w:t>
      </w:r>
    </w:p>
    <w:p w14:paraId="6B2DCC7F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In contrast, </w:t>
      </w:r>
      <w:r w:rsidRPr="0045603A">
        <w:rPr>
          <w:rFonts w:ascii="NotoSans-Bold" w:eastAsia="NotoSans" w:hAnsi="NotoSans-Bold" w:cs="NotoSans-Bold"/>
          <w:b/>
          <w:bCs/>
          <w:color w:val="242424"/>
          <w:sz w:val="18"/>
          <w:szCs w:val="18"/>
          <w:lang w:val="en-US"/>
        </w:rPr>
        <w:t xml:space="preserve">unplanned change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is unintentional and is usually the result of informal organizing. It may or may</w:t>
      </w:r>
    </w:p>
    <w:p w14:paraId="570B0DD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not serve the aims of the organization as a whole. Unplanned change may be completely spontaneous,</w:t>
      </w:r>
    </w:p>
    <w:p w14:paraId="17200650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occurring simply because employees in some part of an organization want to initiate change. But sometimes it</w:t>
      </w:r>
      <w:r>
        <w:rPr>
          <w:rFonts w:eastAsia="NotoSans" w:cs="NotoSans"/>
          <w:color w:val="242424"/>
          <w:sz w:val="18"/>
          <w:szCs w:val="18"/>
          <w:lang w:val="en-US"/>
        </w:rPr>
        <w:t xml:space="preserve">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occurs as a byproduct of a planned change process. This is because it is difficult for leaders to anticipate all the</w:t>
      </w:r>
    </w:p>
    <w:p w14:paraId="429EEAAD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consequences of a planned change effort. Employees react in unpredictable ways, technologies don't work as</w:t>
      </w:r>
    </w:p>
    <w:p w14:paraId="659DD0DA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expected, changes in the marketplace don't happen as expected, or other actors may react in unanticipated</w:t>
      </w:r>
    </w:p>
    <w:p w14:paraId="72622B83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ways.</w:t>
      </w:r>
    </w:p>
    <w:p w14:paraId="3B2C2525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As we will discuss below, some change models are designed to take advantage of the potential for</w:t>
      </w:r>
    </w:p>
    <w:p w14:paraId="2799CD4A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spontaneous organizing among employees. Unplanned change can be harnessed as a positive force when</w:t>
      </w:r>
    </w:p>
    <w:p w14:paraId="01389961" w14:textId="52656959" w:rsidR="0045603A" w:rsidRPr="0045603A" w:rsidRDefault="0045603A" w:rsidP="0045603A">
      <w:pPr>
        <w:rPr>
          <w:rFonts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employees are invited to be proactive about working toward common organizational goals.</w:t>
      </w:r>
    </w:p>
    <w:p w14:paraId="14E8A081" w14:textId="46540AC6" w:rsidR="00C5758D" w:rsidRDefault="00C5758D" w:rsidP="00C5758D">
      <w:pPr>
        <w:rPr>
          <w:rFonts w:ascii="NotoSans" w:eastAsia="NotoSans" w:cs="NotoSans"/>
          <w:color w:val="242424"/>
          <w:sz w:val="18"/>
          <w:szCs w:val="18"/>
          <w:lang w:val="en-US"/>
        </w:rPr>
      </w:pPr>
    </w:p>
    <w:p w14:paraId="212E212D" w14:textId="6C49589B" w:rsidR="0045603A" w:rsidRDefault="0045603A" w:rsidP="00C5758D">
      <w:pPr>
        <w:rPr>
          <w:rFonts w:ascii="RobotoCondensed-Regular" w:hAnsi="RobotoCondensed-Regular" w:cs="RobotoCondensed-Regular"/>
          <w:color w:val="344456"/>
          <w:sz w:val="30"/>
          <w:szCs w:val="30"/>
        </w:rPr>
      </w:pPr>
      <w:proofErr w:type="spellStart"/>
      <w:r>
        <w:rPr>
          <w:rFonts w:ascii="RobotoCondensed-Regular" w:hAnsi="RobotoCondensed-Regular" w:cs="RobotoCondensed-Regular"/>
          <w:color w:val="344456"/>
          <w:sz w:val="30"/>
          <w:szCs w:val="30"/>
        </w:rPr>
        <w:t>Managing</w:t>
      </w:r>
      <w:proofErr w:type="spellEnd"/>
      <w:r>
        <w:rPr>
          <w:rFonts w:ascii="RobotoCondensed-Regular" w:hAnsi="RobotoCondensed-Regular" w:cs="RobotoCondensed-Regular"/>
          <w:color w:val="344456"/>
          <w:sz w:val="30"/>
          <w:szCs w:val="30"/>
        </w:rPr>
        <w:t xml:space="preserve"> </w:t>
      </w:r>
      <w:proofErr w:type="spellStart"/>
      <w:r>
        <w:rPr>
          <w:rFonts w:ascii="RobotoCondensed-Regular" w:hAnsi="RobotoCondensed-Regular" w:cs="RobotoCondensed-Regular"/>
          <w:color w:val="344456"/>
          <w:sz w:val="30"/>
          <w:szCs w:val="30"/>
        </w:rPr>
        <w:t>Change</w:t>
      </w:r>
      <w:proofErr w:type="spellEnd"/>
    </w:p>
    <w:p w14:paraId="54D9180F" w14:textId="7E52A910" w:rsidR="0045603A" w:rsidRPr="0045603A" w:rsidRDefault="0045603A" w:rsidP="00C5758D">
      <w:pPr>
        <w:rPr>
          <w:rFonts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3. How do managers deal with change?</w:t>
      </w:r>
    </w:p>
    <w:p w14:paraId="05E9E6B0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NotoSans-Bold" w:cs="NotoSans"/>
          <w:color w:val="242424"/>
          <w:sz w:val="18"/>
          <w:szCs w:val="18"/>
          <w:lang w:val="en-US"/>
        </w:rPr>
      </w:pP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Change management </w:t>
      </w: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is the process of designing and implementing change. Most leaders are responsible for</w:t>
      </w:r>
    </w:p>
    <w:p w14:paraId="794395F2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 xml:space="preserve">some degree of change management. In addition, as indicated in the introduction,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>organizational</w:t>
      </w:r>
    </w:p>
    <w:p w14:paraId="0BB01DD0" w14:textId="5215E152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development (OD) </w:t>
      </w: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is a specialized field that focuses on how to design and manage change.</w:t>
      </w:r>
      <w:r>
        <w:rPr>
          <w:rFonts w:ascii="NotoSans" w:eastAsia="NotoSans" w:hAnsi="NotoSans-Bold" w:cs="NotoSans"/>
          <w:color w:val="027EB6"/>
          <w:sz w:val="14"/>
          <w:szCs w:val="14"/>
          <w:lang w:val="en-US"/>
        </w:rPr>
        <w:t>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Cummings, Thomas G. and Worley, Christopher G.,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Organization Development and Change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11</w:t>
      </w:r>
      <w:r w:rsidRPr="0045603A">
        <w:rPr>
          <w:rFonts w:ascii="NotoSans" w:eastAsia="NotoSans" w:cs="NotoSans"/>
          <w:color w:val="242424"/>
          <w:sz w:val="14"/>
          <w:szCs w:val="14"/>
          <w:lang w:val="en-US"/>
        </w:rPr>
        <w:t xml:space="preserve">th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edition,</w:t>
      </w:r>
    </w:p>
    <w:p w14:paraId="30DC64F8" w14:textId="2C71F981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eastAsia="NotoSans" w:cs="NotoSans"/>
          <w:color w:val="027EB6"/>
          <w:sz w:val="14"/>
          <w:szCs w:val="14"/>
          <w:lang w:val="en-US"/>
        </w:rPr>
      </w:pPr>
      <w:proofErr w:type="spellStart"/>
      <w:r>
        <w:rPr>
          <w:rFonts w:ascii="NotoSans" w:eastAsia="NotoSans" w:cs="NotoSans"/>
          <w:color w:val="242424"/>
          <w:sz w:val="18"/>
          <w:szCs w:val="18"/>
        </w:rPr>
        <w:t>Cengage</w:t>
      </w:r>
      <w:proofErr w:type="spellEnd"/>
      <w:r>
        <w:rPr>
          <w:rFonts w:ascii="NotoSans" w:eastAsia="NotoSans" w:cs="NotoSans"/>
          <w:color w:val="242424"/>
          <w:sz w:val="18"/>
          <w:szCs w:val="18"/>
        </w:rPr>
        <w:t xml:space="preserve"> </w:t>
      </w:r>
      <w:proofErr w:type="spellStart"/>
      <w:r>
        <w:rPr>
          <w:rFonts w:ascii="NotoSans" w:eastAsia="NotoSans" w:cs="NotoSans"/>
          <w:color w:val="242424"/>
          <w:sz w:val="18"/>
          <w:szCs w:val="18"/>
        </w:rPr>
        <w:t>Learning</w:t>
      </w:r>
      <w:proofErr w:type="spellEnd"/>
      <w:r>
        <w:rPr>
          <w:rFonts w:ascii="NotoSans" w:eastAsia="NotoSans" w:cs="NotoSans"/>
          <w:color w:val="242424"/>
          <w:sz w:val="18"/>
          <w:szCs w:val="18"/>
        </w:rPr>
        <w:t>, 2019.</w:t>
      </w:r>
      <w:r>
        <w:rPr>
          <w:rFonts w:eastAsia="NotoSans" w:cs="NotoSans"/>
          <w:color w:val="242424"/>
          <w:sz w:val="18"/>
          <w:szCs w:val="18"/>
          <w:lang w:val="en-US"/>
        </w:rPr>
        <w:t>)</w:t>
      </w:r>
    </w:p>
    <w:p w14:paraId="121A41E8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NotoSans-Bold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 xml:space="preserve">An </w:t>
      </w:r>
      <w:r w:rsidRPr="0045603A">
        <w:rPr>
          <w:rFonts w:ascii="NotoSans-Bold" w:hAnsi="NotoSans-Bold" w:cs="NotoSans-Bold"/>
          <w:b/>
          <w:bCs/>
          <w:color w:val="242424"/>
          <w:sz w:val="18"/>
          <w:szCs w:val="18"/>
          <w:lang w:val="en-US"/>
        </w:rPr>
        <w:t xml:space="preserve">OD consultant </w:t>
      </w: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is someone who has expertise in change management processes. An internal consultant is</w:t>
      </w:r>
    </w:p>
    <w:p w14:paraId="145F2385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NotoSans-Bold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someone who works as an employee of an organization and focuses on how to create change from within that</w:t>
      </w:r>
    </w:p>
    <w:p w14:paraId="20E26EAC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NotoSans-Bold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organization. An external consultant is an OD specialist hired to provide outside expertise for a short period of</w:t>
      </w:r>
    </w:p>
    <w:p w14:paraId="29BC8FA8" w14:textId="77777777" w:rsidR="0045603A" w:rsidRPr="0045603A" w:rsidRDefault="0045603A" w:rsidP="0045603A">
      <w:pPr>
        <w:autoSpaceDE w:val="0"/>
        <w:autoSpaceDN w:val="0"/>
        <w:adjustRightInd w:val="0"/>
        <w:spacing w:after="0" w:line="240" w:lineRule="auto"/>
        <w:rPr>
          <w:rFonts w:ascii="NotoSans" w:eastAsia="NotoSans" w:hAnsi="NotoSans-Bold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time, usually for a major change effort. Leaders are more effective in managing change if they understand the</w:t>
      </w:r>
    </w:p>
    <w:p w14:paraId="35B8FF40" w14:textId="1524F7C5" w:rsidR="008F4FE4" w:rsidRPr="008F4FE4" w:rsidRDefault="0045603A" w:rsidP="008F4FE4">
      <w:pPr>
        <w:rPr>
          <w:rFonts w:eastAsia="NotoSans" w:cs="NotoSans"/>
          <w:color w:val="242424"/>
          <w:sz w:val="18"/>
          <w:szCs w:val="18"/>
          <w:lang w:val="en-US"/>
        </w:rPr>
      </w:pPr>
      <w:r w:rsidRPr="0045603A">
        <w:rPr>
          <w:rFonts w:ascii="NotoSans" w:eastAsia="NotoSans" w:hAnsi="NotoSans-Bold" w:cs="NotoSans"/>
          <w:color w:val="242424"/>
          <w:sz w:val="18"/>
          <w:szCs w:val="18"/>
          <w:lang w:val="en-US"/>
        </w:rPr>
        <w:t>common practices for managing change as well as the perspectives and practices used by OD specialists.</w:t>
      </w:r>
      <w:bookmarkStart w:id="0" w:name="_GoBack"/>
      <w:bookmarkEnd w:id="0"/>
    </w:p>
    <w:sectPr w:rsidR="008F4FE4" w:rsidRPr="008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Condensed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oto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7BA"/>
    <w:multiLevelType w:val="hybridMultilevel"/>
    <w:tmpl w:val="9362A44E"/>
    <w:lvl w:ilvl="0" w:tplc="759C79B4">
      <w:start w:val="1"/>
      <w:numFmt w:val="decimal"/>
      <w:lvlText w:val="%1)"/>
      <w:lvlJc w:val="left"/>
      <w:pPr>
        <w:ind w:left="720" w:hanging="360"/>
      </w:pPr>
      <w:rPr>
        <w:rFonts w:ascii="NotoSans" w:eastAsia="NotoSans" w:cs="NotoSans" w:hint="default"/>
        <w:color w:val="242424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999"/>
    <w:multiLevelType w:val="hybridMultilevel"/>
    <w:tmpl w:val="22546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00089"/>
    <w:multiLevelType w:val="hybridMultilevel"/>
    <w:tmpl w:val="A8345ACE"/>
    <w:lvl w:ilvl="0" w:tplc="3E6E7FAE">
      <w:start w:val="1"/>
      <w:numFmt w:val="bullet"/>
      <w:lvlText w:val=""/>
      <w:lvlJc w:val="left"/>
      <w:pPr>
        <w:ind w:left="720" w:hanging="360"/>
      </w:pPr>
      <w:rPr>
        <w:rFonts w:ascii="Symbol" w:eastAsia="NotoSans" w:hAnsi="Symbol" w:cs="NotoSan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2B"/>
    <w:rsid w:val="000C0A3F"/>
    <w:rsid w:val="0045603A"/>
    <w:rsid w:val="008F4FE4"/>
    <w:rsid w:val="00B2352B"/>
    <w:rsid w:val="00BC427E"/>
    <w:rsid w:val="00C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BB43"/>
  <w15:chartTrackingRefBased/>
  <w15:docId w15:val="{C12BADE5-CA4B-4859-B451-11653CF9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1</cp:revision>
  <dcterms:created xsi:type="dcterms:W3CDTF">2022-11-19T15:31:00Z</dcterms:created>
  <dcterms:modified xsi:type="dcterms:W3CDTF">2022-11-19T16:32:00Z</dcterms:modified>
</cp:coreProperties>
</file>